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569" w:rsidRPr="006A6D32" w:rsidRDefault="000D3569" w:rsidP="000D3569">
      <w:pPr>
        <w:pStyle w:val="Overskrift1"/>
        <w:rPr>
          <w:rFonts w:asciiTheme="minorHAnsi" w:hAnsiTheme="minorHAnsi" w:cstheme="minorHAnsi"/>
          <w:color w:val="444444"/>
          <w:sz w:val="24"/>
          <w:szCs w:val="24"/>
        </w:rPr>
      </w:pPr>
    </w:p>
    <w:p w:rsidR="000D3569" w:rsidRPr="006A6D32" w:rsidRDefault="00403F69" w:rsidP="00BE4989">
      <w:pPr>
        <w:pStyle w:val="Overskrift2"/>
        <w:rPr>
          <w:rFonts w:asciiTheme="minorHAnsi" w:hAnsiTheme="minorHAnsi" w:cstheme="minorHAnsi"/>
          <w:sz w:val="24"/>
          <w:szCs w:val="24"/>
        </w:rPr>
      </w:pPr>
      <w:r w:rsidRPr="006A6D32">
        <w:rPr>
          <w:rFonts w:asciiTheme="minorHAnsi" w:hAnsiTheme="minorHAnsi" w:cstheme="minorHAnsi"/>
          <w:sz w:val="24"/>
          <w:szCs w:val="24"/>
        </w:rPr>
        <w:t>Beskrivelse af projektet, arbejdspakker og cases</w:t>
      </w:r>
    </w:p>
    <w:p w:rsidR="00BE4989" w:rsidRPr="006A6D32" w:rsidRDefault="00BE4989" w:rsidP="00BE4989">
      <w:pPr>
        <w:rPr>
          <w:rFonts w:asciiTheme="minorHAnsi" w:hAnsiTheme="minorHAnsi" w:cstheme="minorHAnsi"/>
          <w:sz w:val="24"/>
          <w:szCs w:val="24"/>
        </w:rPr>
      </w:pPr>
    </w:p>
    <w:p w:rsidR="00403F69" w:rsidRPr="006A6D32" w:rsidRDefault="00BE4989" w:rsidP="00BE4989">
      <w:pPr>
        <w:pStyle w:val="Overskrift3"/>
        <w:spacing w:before="0"/>
        <w:rPr>
          <w:rFonts w:asciiTheme="minorHAnsi" w:hAnsiTheme="minorHAnsi" w:cstheme="minorHAnsi"/>
        </w:rPr>
      </w:pPr>
      <w:r w:rsidRPr="006A6D32">
        <w:rPr>
          <w:rFonts w:asciiTheme="minorHAnsi" w:hAnsiTheme="minorHAnsi" w:cstheme="minorHAnsi"/>
        </w:rPr>
        <w:t>Projektets formål og vision</w:t>
      </w:r>
    </w:p>
    <w:p w:rsidR="006A6D32" w:rsidRPr="006A6D32" w:rsidRDefault="006A6D32" w:rsidP="006A6D32">
      <w:pPr>
        <w:rPr>
          <w:rFonts w:asciiTheme="minorHAnsi" w:hAnsiTheme="minorHAnsi" w:cstheme="minorHAnsi"/>
          <w:sz w:val="24"/>
          <w:szCs w:val="24"/>
        </w:rPr>
      </w:pPr>
      <w:r w:rsidRPr="006A6D32">
        <w:rPr>
          <w:rFonts w:asciiTheme="minorHAnsi" w:hAnsiTheme="minorHAnsi" w:cstheme="minorHAnsi"/>
          <w:sz w:val="24"/>
          <w:szCs w:val="24"/>
        </w:rPr>
        <w:t>Projektets overordnede formål er at demonstrere, hvordan kemikalieaffald kan genanvendes som kemikalieressourcer.</w:t>
      </w:r>
    </w:p>
    <w:p w:rsidR="006A6D32" w:rsidRPr="006A6D32" w:rsidRDefault="006A6D32" w:rsidP="006A6D32">
      <w:pPr>
        <w:rPr>
          <w:rFonts w:asciiTheme="minorHAnsi" w:hAnsiTheme="minorHAnsi" w:cstheme="minorHAnsi"/>
          <w:sz w:val="24"/>
          <w:szCs w:val="24"/>
        </w:rPr>
      </w:pPr>
      <w:r w:rsidRPr="006A6D32">
        <w:rPr>
          <w:rFonts w:asciiTheme="minorHAnsi" w:hAnsiTheme="minorHAnsi" w:cstheme="minorHAnsi"/>
          <w:sz w:val="24"/>
          <w:szCs w:val="24"/>
        </w:rPr>
        <w:t>Der tages udgangspunkt i syreaffald (vurderes til ca. 1.740 tons/y) og opløsningsmidler (vurderes til ca. 1.300 tons/y).</w:t>
      </w:r>
    </w:p>
    <w:p w:rsidR="006A6D32" w:rsidRPr="006A6D32" w:rsidRDefault="006A6D32" w:rsidP="006A6D32">
      <w:pPr>
        <w:rPr>
          <w:rFonts w:asciiTheme="minorHAnsi" w:hAnsiTheme="minorHAnsi" w:cstheme="minorHAnsi"/>
          <w:sz w:val="24"/>
          <w:szCs w:val="24"/>
        </w:rPr>
      </w:pPr>
    </w:p>
    <w:p w:rsidR="006A6D32" w:rsidRPr="006A6D32" w:rsidRDefault="006A6D32" w:rsidP="006A6D32">
      <w:pPr>
        <w:rPr>
          <w:rFonts w:asciiTheme="minorHAnsi" w:hAnsiTheme="minorHAnsi" w:cstheme="minorHAnsi"/>
          <w:sz w:val="24"/>
          <w:szCs w:val="24"/>
        </w:rPr>
      </w:pPr>
      <w:r w:rsidRPr="006A6D32">
        <w:rPr>
          <w:rFonts w:asciiTheme="minorHAnsi" w:hAnsiTheme="minorHAnsi" w:cstheme="minorHAnsi"/>
          <w:sz w:val="24"/>
          <w:szCs w:val="24"/>
        </w:rPr>
        <w:t>Der er således ikke tale om et substitutionsprojekt, men projektet tager udgangspunktet i det kendte brug der er, isæ</w:t>
      </w:r>
      <w:bookmarkStart w:id="0" w:name="_GoBack"/>
      <w:bookmarkEnd w:id="0"/>
      <w:r w:rsidRPr="006A6D32">
        <w:rPr>
          <w:rFonts w:asciiTheme="minorHAnsi" w:hAnsiTheme="minorHAnsi" w:cstheme="minorHAnsi"/>
          <w:sz w:val="24"/>
          <w:szCs w:val="24"/>
        </w:rPr>
        <w:t>r indenfor for medicinal- og fødevareindustrien og hvor der ikke umiddelbart kan ske en ændring i hvilke stoffer der skal anvendes.</w:t>
      </w:r>
    </w:p>
    <w:p w:rsidR="006A6D32" w:rsidRPr="006A6D32" w:rsidRDefault="006A6D32" w:rsidP="006A6D32">
      <w:pPr>
        <w:rPr>
          <w:rFonts w:asciiTheme="minorHAnsi" w:hAnsiTheme="minorHAnsi" w:cstheme="minorHAnsi"/>
          <w:sz w:val="24"/>
          <w:szCs w:val="24"/>
        </w:rPr>
      </w:pPr>
    </w:p>
    <w:p w:rsidR="006A6D32" w:rsidRPr="006A6D32" w:rsidRDefault="006A6D32" w:rsidP="006A6D32">
      <w:pPr>
        <w:rPr>
          <w:rFonts w:asciiTheme="minorHAnsi" w:hAnsiTheme="minorHAnsi" w:cstheme="minorHAnsi"/>
          <w:sz w:val="24"/>
          <w:szCs w:val="24"/>
        </w:rPr>
      </w:pPr>
      <w:r w:rsidRPr="006A6D32">
        <w:rPr>
          <w:rFonts w:asciiTheme="minorHAnsi" w:hAnsiTheme="minorHAnsi" w:cstheme="minorHAnsi"/>
          <w:sz w:val="24"/>
          <w:szCs w:val="24"/>
        </w:rPr>
        <w:t>Med udgangspunkt i ideen om cirkulær økonomi er det projektets vision at etablere det tekniske og logistiske grundlag for genanvendelse af kemikalieressourcer, så deres levetid bliver forlænget med en reduktion af energiudnyttelse og miljøbelastning ved ny -produktion.</w:t>
      </w:r>
    </w:p>
    <w:p w:rsidR="006A6D32" w:rsidRPr="006A6D32" w:rsidRDefault="006A6D32" w:rsidP="006A6D32">
      <w:pPr>
        <w:rPr>
          <w:rFonts w:asciiTheme="minorHAnsi" w:hAnsiTheme="minorHAnsi" w:cstheme="minorHAnsi"/>
          <w:sz w:val="24"/>
          <w:szCs w:val="24"/>
        </w:rPr>
      </w:pPr>
    </w:p>
    <w:p w:rsidR="00BE4989" w:rsidRPr="006A6D32" w:rsidRDefault="00BE4989" w:rsidP="00403F69">
      <w:pPr>
        <w:rPr>
          <w:rFonts w:asciiTheme="minorHAnsi" w:hAnsiTheme="minorHAnsi" w:cstheme="minorHAnsi"/>
          <w:sz w:val="24"/>
          <w:szCs w:val="24"/>
        </w:rPr>
      </w:pPr>
    </w:p>
    <w:p w:rsidR="00BE4989" w:rsidRPr="006A6D32" w:rsidRDefault="00BE4989" w:rsidP="00BE4989">
      <w:pPr>
        <w:pStyle w:val="Overskrift3"/>
        <w:rPr>
          <w:rFonts w:asciiTheme="minorHAnsi" w:hAnsiTheme="minorHAnsi" w:cstheme="minorHAnsi"/>
        </w:rPr>
      </w:pPr>
      <w:r w:rsidRPr="006A6D32">
        <w:rPr>
          <w:rFonts w:asciiTheme="minorHAnsi" w:hAnsiTheme="minorHAnsi" w:cstheme="minorHAnsi"/>
        </w:rPr>
        <w:t>Ansvarlige for gennemførelse af projektet</w:t>
      </w:r>
    </w:p>
    <w:p w:rsidR="00BE4989" w:rsidRPr="006A6D32" w:rsidRDefault="00BE4989" w:rsidP="00BE4989">
      <w:pPr>
        <w:rPr>
          <w:rFonts w:asciiTheme="minorHAnsi" w:hAnsiTheme="minorHAnsi" w:cstheme="minorHAnsi"/>
          <w:sz w:val="24"/>
          <w:szCs w:val="24"/>
        </w:rPr>
      </w:pPr>
      <w:r w:rsidRPr="006A6D32">
        <w:rPr>
          <w:rFonts w:asciiTheme="minorHAnsi" w:hAnsiTheme="minorHAnsi" w:cstheme="minorHAnsi"/>
          <w:sz w:val="24"/>
          <w:szCs w:val="24"/>
        </w:rPr>
        <w:t xml:space="preserve">Det er Kemi &amp; Life Science der er hovedansøger med Dansk Erhverv som medansøger. Ansvaret for gennemførelse af projektet er overdraget til JURAAD Aps ved Vibeke Plambeck, advokat og DHI er underleverandør. </w:t>
      </w:r>
    </w:p>
    <w:p w:rsidR="00BE4989" w:rsidRPr="006A6D32" w:rsidRDefault="00BE4989" w:rsidP="00403F69">
      <w:pPr>
        <w:rPr>
          <w:rFonts w:asciiTheme="minorHAnsi" w:hAnsiTheme="minorHAnsi" w:cstheme="minorHAnsi"/>
          <w:sz w:val="24"/>
          <w:szCs w:val="24"/>
        </w:rPr>
      </w:pPr>
    </w:p>
    <w:p w:rsidR="004E0412" w:rsidRPr="006A6D32" w:rsidRDefault="00BE4989" w:rsidP="00BE4989">
      <w:pPr>
        <w:pStyle w:val="Overskrift3"/>
        <w:spacing w:before="0"/>
        <w:rPr>
          <w:rFonts w:asciiTheme="minorHAnsi" w:hAnsiTheme="minorHAnsi" w:cstheme="minorHAnsi"/>
        </w:rPr>
      </w:pPr>
      <w:r w:rsidRPr="006A6D32">
        <w:rPr>
          <w:rFonts w:asciiTheme="minorHAnsi" w:hAnsiTheme="minorHAnsi" w:cstheme="minorHAnsi"/>
        </w:rPr>
        <w:t>Projektet</w:t>
      </w:r>
      <w:r w:rsidR="004E0412" w:rsidRPr="006A6D32">
        <w:rPr>
          <w:rFonts w:asciiTheme="minorHAnsi" w:hAnsiTheme="minorHAnsi" w:cstheme="minorHAnsi"/>
        </w:rPr>
        <w:t>:</w:t>
      </w:r>
    </w:p>
    <w:p w:rsidR="004E0412" w:rsidRPr="006A6D32" w:rsidRDefault="004E0412" w:rsidP="00403F69">
      <w:pPr>
        <w:rPr>
          <w:rFonts w:asciiTheme="minorHAnsi" w:hAnsiTheme="minorHAnsi" w:cstheme="minorHAnsi"/>
          <w:sz w:val="24"/>
          <w:szCs w:val="24"/>
        </w:rPr>
      </w:pPr>
    </w:p>
    <w:p w:rsidR="00403F69" w:rsidRPr="006A6D32" w:rsidRDefault="00BF42C1" w:rsidP="0007555F">
      <w:pPr>
        <w:pStyle w:val="Listeafsnit"/>
        <w:numPr>
          <w:ilvl w:val="0"/>
          <w:numId w:val="2"/>
        </w:numPr>
        <w:rPr>
          <w:rFonts w:asciiTheme="minorHAnsi" w:hAnsiTheme="minorHAnsi" w:cstheme="minorHAnsi"/>
          <w:sz w:val="24"/>
          <w:szCs w:val="24"/>
        </w:rPr>
      </w:pPr>
      <w:r w:rsidRPr="006A6D32">
        <w:rPr>
          <w:rFonts w:asciiTheme="minorHAnsi" w:hAnsiTheme="minorHAnsi" w:cstheme="minorHAnsi"/>
          <w:sz w:val="24"/>
          <w:szCs w:val="24"/>
        </w:rPr>
        <w:t>skal</w:t>
      </w:r>
      <w:r w:rsidR="00403F69" w:rsidRPr="006A6D32">
        <w:rPr>
          <w:rFonts w:asciiTheme="minorHAnsi" w:hAnsiTheme="minorHAnsi" w:cstheme="minorHAnsi"/>
          <w:sz w:val="24"/>
          <w:szCs w:val="24"/>
        </w:rPr>
        <w:t xml:space="preserve"> identificere de tekniske</w:t>
      </w:r>
      <w:r w:rsidRPr="006A6D32">
        <w:rPr>
          <w:rFonts w:asciiTheme="minorHAnsi" w:hAnsiTheme="minorHAnsi" w:cstheme="minorHAnsi"/>
          <w:sz w:val="24"/>
          <w:szCs w:val="24"/>
        </w:rPr>
        <w:t xml:space="preserve"> og logistiske</w:t>
      </w:r>
      <w:r w:rsidR="00403F69" w:rsidRPr="006A6D32">
        <w:rPr>
          <w:rFonts w:asciiTheme="minorHAnsi" w:hAnsiTheme="minorHAnsi" w:cstheme="minorHAnsi"/>
          <w:sz w:val="24"/>
          <w:szCs w:val="24"/>
        </w:rPr>
        <w:t xml:space="preserve"> barrierer der </w:t>
      </w:r>
      <w:r w:rsidRPr="006A6D32">
        <w:rPr>
          <w:rFonts w:asciiTheme="minorHAnsi" w:hAnsiTheme="minorHAnsi" w:cstheme="minorHAnsi"/>
          <w:sz w:val="24"/>
          <w:szCs w:val="24"/>
        </w:rPr>
        <w:t>sandsynligvis vil være</w:t>
      </w:r>
      <w:r w:rsidR="00403F69" w:rsidRPr="006A6D32">
        <w:rPr>
          <w:rFonts w:asciiTheme="minorHAnsi" w:hAnsiTheme="minorHAnsi" w:cstheme="minorHAnsi"/>
          <w:sz w:val="24"/>
          <w:szCs w:val="24"/>
        </w:rPr>
        <w:t>, hos</w:t>
      </w:r>
      <w:r w:rsidRPr="006A6D32">
        <w:rPr>
          <w:rFonts w:asciiTheme="minorHAnsi" w:hAnsiTheme="minorHAnsi" w:cstheme="minorHAnsi"/>
          <w:sz w:val="24"/>
          <w:szCs w:val="24"/>
        </w:rPr>
        <w:t xml:space="preserve"> de virksomheder der bruger de primære kemiske ressourcer</w:t>
      </w:r>
      <w:r w:rsidR="00403F69" w:rsidRPr="006A6D32">
        <w:rPr>
          <w:rFonts w:asciiTheme="minorHAnsi" w:hAnsiTheme="minorHAnsi" w:cstheme="minorHAnsi"/>
          <w:sz w:val="24"/>
          <w:szCs w:val="24"/>
        </w:rPr>
        <w:t xml:space="preserve"> for</w:t>
      </w:r>
      <w:r w:rsidRPr="006A6D32">
        <w:rPr>
          <w:rFonts w:asciiTheme="minorHAnsi" w:hAnsiTheme="minorHAnsi" w:cstheme="minorHAnsi"/>
          <w:sz w:val="24"/>
          <w:szCs w:val="24"/>
        </w:rPr>
        <w:t xml:space="preserve"> </w:t>
      </w:r>
      <w:r w:rsidR="00403F69" w:rsidRPr="006A6D32">
        <w:rPr>
          <w:rFonts w:asciiTheme="minorHAnsi" w:hAnsiTheme="minorHAnsi" w:cstheme="minorHAnsi"/>
          <w:sz w:val="24"/>
          <w:szCs w:val="24"/>
        </w:rPr>
        <w:t>at optimere genanvendeligheden af d</w:t>
      </w:r>
      <w:r w:rsidRPr="006A6D32">
        <w:rPr>
          <w:rFonts w:asciiTheme="minorHAnsi" w:hAnsiTheme="minorHAnsi" w:cstheme="minorHAnsi"/>
          <w:sz w:val="24"/>
          <w:szCs w:val="24"/>
        </w:rPr>
        <w:t>isse</w:t>
      </w:r>
      <w:r w:rsidR="00403F69" w:rsidRPr="006A6D32">
        <w:rPr>
          <w:rFonts w:asciiTheme="minorHAnsi" w:hAnsiTheme="minorHAnsi" w:cstheme="minorHAnsi"/>
          <w:sz w:val="24"/>
          <w:szCs w:val="24"/>
        </w:rPr>
        <w:t xml:space="preserve"> kemiske ressourcer</w:t>
      </w:r>
      <w:r w:rsidRPr="006A6D32">
        <w:rPr>
          <w:rFonts w:asciiTheme="minorHAnsi" w:hAnsiTheme="minorHAnsi" w:cstheme="minorHAnsi"/>
          <w:sz w:val="24"/>
          <w:szCs w:val="24"/>
        </w:rPr>
        <w:t xml:space="preserve"> og således bidrage til at forebygge kemikalieaffald</w:t>
      </w:r>
      <w:r w:rsidR="00403F69" w:rsidRPr="006A6D32">
        <w:rPr>
          <w:rFonts w:asciiTheme="minorHAnsi" w:hAnsiTheme="minorHAnsi" w:cstheme="minorHAnsi"/>
          <w:sz w:val="24"/>
          <w:szCs w:val="24"/>
        </w:rPr>
        <w:t>.</w:t>
      </w:r>
    </w:p>
    <w:p w:rsidR="00403F69" w:rsidRPr="006A6D32" w:rsidRDefault="00403F69" w:rsidP="00403F69">
      <w:pPr>
        <w:rPr>
          <w:rFonts w:asciiTheme="minorHAnsi" w:hAnsiTheme="minorHAnsi" w:cstheme="minorHAnsi"/>
          <w:sz w:val="24"/>
          <w:szCs w:val="24"/>
        </w:rPr>
      </w:pPr>
    </w:p>
    <w:p w:rsidR="00BF42C1" w:rsidRPr="006A6D32" w:rsidRDefault="00BF42C1" w:rsidP="0007555F">
      <w:pPr>
        <w:pStyle w:val="Listeafsnit"/>
        <w:numPr>
          <w:ilvl w:val="0"/>
          <w:numId w:val="2"/>
        </w:numPr>
        <w:rPr>
          <w:rFonts w:asciiTheme="minorHAnsi" w:hAnsiTheme="minorHAnsi" w:cstheme="minorHAnsi"/>
          <w:sz w:val="24"/>
          <w:szCs w:val="24"/>
        </w:rPr>
      </w:pPr>
      <w:r w:rsidRPr="006A6D32">
        <w:rPr>
          <w:rFonts w:asciiTheme="minorHAnsi" w:hAnsiTheme="minorHAnsi" w:cstheme="minorHAnsi"/>
          <w:sz w:val="24"/>
          <w:szCs w:val="24"/>
        </w:rPr>
        <w:t xml:space="preserve">vil </w:t>
      </w:r>
      <w:r w:rsidR="004E0412" w:rsidRPr="006A6D32">
        <w:rPr>
          <w:rFonts w:asciiTheme="minorHAnsi" w:hAnsiTheme="minorHAnsi" w:cstheme="minorHAnsi"/>
          <w:sz w:val="24"/>
          <w:szCs w:val="24"/>
        </w:rPr>
        <w:t>demonstrere</w:t>
      </w:r>
      <w:r w:rsidR="00403F69" w:rsidRPr="006A6D32">
        <w:rPr>
          <w:rFonts w:asciiTheme="minorHAnsi" w:hAnsiTheme="minorHAnsi" w:cstheme="minorHAnsi"/>
          <w:sz w:val="24"/>
          <w:szCs w:val="24"/>
        </w:rPr>
        <w:t>, hvordan virksomhede</w:t>
      </w:r>
      <w:r w:rsidR="005232E0" w:rsidRPr="006A6D32">
        <w:rPr>
          <w:rFonts w:asciiTheme="minorHAnsi" w:hAnsiTheme="minorHAnsi" w:cstheme="minorHAnsi"/>
          <w:sz w:val="24"/>
          <w:szCs w:val="24"/>
        </w:rPr>
        <w:t>r</w:t>
      </w:r>
      <w:r w:rsidR="00403F69" w:rsidRPr="006A6D32">
        <w:rPr>
          <w:rFonts w:asciiTheme="minorHAnsi" w:hAnsiTheme="minorHAnsi" w:cstheme="minorHAnsi"/>
          <w:sz w:val="24"/>
          <w:szCs w:val="24"/>
        </w:rPr>
        <w:t xml:space="preserve"> kan identificere kemiske ressourcer, der kan genanvendes ved at optimere processer og arbejdsgange, fx ved en ændret proces i forbindelse med identifikation af kemiske affaldsstrømme. </w:t>
      </w:r>
    </w:p>
    <w:p w:rsidR="00BF42C1" w:rsidRPr="006A6D32" w:rsidRDefault="00BF42C1" w:rsidP="00403F69">
      <w:pPr>
        <w:rPr>
          <w:rFonts w:asciiTheme="minorHAnsi" w:hAnsiTheme="minorHAnsi" w:cstheme="minorHAnsi"/>
          <w:sz w:val="24"/>
          <w:szCs w:val="24"/>
        </w:rPr>
      </w:pPr>
    </w:p>
    <w:p w:rsidR="00403F69" w:rsidRPr="006A6D32" w:rsidRDefault="005232E0" w:rsidP="0007555F">
      <w:pPr>
        <w:pStyle w:val="Listeafsnit"/>
        <w:numPr>
          <w:ilvl w:val="0"/>
          <w:numId w:val="2"/>
        </w:numPr>
        <w:rPr>
          <w:rFonts w:asciiTheme="minorHAnsi" w:hAnsiTheme="minorHAnsi" w:cstheme="minorHAnsi"/>
          <w:sz w:val="24"/>
          <w:szCs w:val="24"/>
        </w:rPr>
      </w:pPr>
      <w:r w:rsidRPr="006A6D32">
        <w:rPr>
          <w:rFonts w:asciiTheme="minorHAnsi" w:hAnsiTheme="minorHAnsi" w:cstheme="minorHAnsi"/>
          <w:sz w:val="24"/>
          <w:szCs w:val="24"/>
        </w:rPr>
        <w:t>vil sam</w:t>
      </w:r>
      <w:r w:rsidR="00DB7C45" w:rsidRPr="006A6D32">
        <w:rPr>
          <w:rFonts w:asciiTheme="minorHAnsi" w:hAnsiTheme="minorHAnsi" w:cstheme="minorHAnsi"/>
          <w:sz w:val="24"/>
          <w:szCs w:val="24"/>
        </w:rPr>
        <w:t>men</w:t>
      </w:r>
      <w:r w:rsidRPr="006A6D32">
        <w:rPr>
          <w:rFonts w:asciiTheme="minorHAnsi" w:hAnsiTheme="minorHAnsi" w:cstheme="minorHAnsi"/>
          <w:sz w:val="24"/>
          <w:szCs w:val="24"/>
        </w:rPr>
        <w:t xml:space="preserve"> med aftager</w:t>
      </w:r>
      <w:r w:rsidR="00DB7C45" w:rsidRPr="006A6D32">
        <w:rPr>
          <w:rFonts w:asciiTheme="minorHAnsi" w:hAnsiTheme="minorHAnsi" w:cstheme="minorHAnsi"/>
          <w:sz w:val="24"/>
          <w:szCs w:val="24"/>
        </w:rPr>
        <w:t>e</w:t>
      </w:r>
      <w:r w:rsidRPr="006A6D32">
        <w:rPr>
          <w:rFonts w:asciiTheme="minorHAnsi" w:hAnsiTheme="minorHAnsi" w:cstheme="minorHAnsi"/>
          <w:sz w:val="24"/>
          <w:szCs w:val="24"/>
        </w:rPr>
        <w:t xml:space="preserve"> af de sekundære kemiske ressourcer</w:t>
      </w:r>
      <w:r w:rsidR="00DB7C45" w:rsidRPr="006A6D32">
        <w:rPr>
          <w:rFonts w:asciiTheme="minorHAnsi" w:hAnsiTheme="minorHAnsi" w:cstheme="minorHAnsi"/>
          <w:sz w:val="24"/>
          <w:szCs w:val="24"/>
        </w:rPr>
        <w:t xml:space="preserve"> afdække om det er muligt at identificere specifikationerne til deres råvare uden at kompromittere deres produkters kvalitet og afklare om der kan</w:t>
      </w:r>
      <w:r w:rsidR="00403F69" w:rsidRPr="006A6D32">
        <w:rPr>
          <w:rFonts w:asciiTheme="minorHAnsi" w:hAnsiTheme="minorHAnsi" w:cstheme="minorHAnsi"/>
          <w:sz w:val="24"/>
          <w:szCs w:val="24"/>
        </w:rPr>
        <w:t xml:space="preserve"> opstill</w:t>
      </w:r>
      <w:r w:rsidR="00DB7C45" w:rsidRPr="006A6D32">
        <w:rPr>
          <w:rFonts w:asciiTheme="minorHAnsi" w:hAnsiTheme="minorHAnsi" w:cstheme="minorHAnsi"/>
          <w:sz w:val="24"/>
          <w:szCs w:val="24"/>
        </w:rPr>
        <w:t>es</w:t>
      </w:r>
      <w:r w:rsidR="00403F69" w:rsidRPr="006A6D32">
        <w:rPr>
          <w:rFonts w:asciiTheme="minorHAnsi" w:hAnsiTheme="minorHAnsi" w:cstheme="minorHAnsi"/>
          <w:sz w:val="24"/>
          <w:szCs w:val="24"/>
        </w:rPr>
        <w:t xml:space="preserve"> specifikationer til den sekundære råvare</w:t>
      </w:r>
    </w:p>
    <w:p w:rsidR="00BE4989" w:rsidRPr="006A6D32" w:rsidRDefault="00BE4989" w:rsidP="00BE4989">
      <w:pPr>
        <w:pStyle w:val="Listeafsnit"/>
        <w:rPr>
          <w:rFonts w:asciiTheme="minorHAnsi" w:hAnsiTheme="minorHAnsi" w:cstheme="minorHAnsi"/>
          <w:sz w:val="24"/>
          <w:szCs w:val="24"/>
        </w:rPr>
      </w:pPr>
    </w:p>
    <w:p w:rsidR="00BE4989" w:rsidRPr="006A6D32" w:rsidRDefault="00BE4989" w:rsidP="00BE4989">
      <w:pPr>
        <w:pStyle w:val="Listeafsnit"/>
        <w:numPr>
          <w:ilvl w:val="0"/>
          <w:numId w:val="2"/>
        </w:numPr>
        <w:rPr>
          <w:rFonts w:asciiTheme="minorHAnsi" w:hAnsiTheme="minorHAnsi" w:cstheme="minorHAnsi"/>
          <w:sz w:val="24"/>
          <w:szCs w:val="24"/>
        </w:rPr>
      </w:pPr>
      <w:r w:rsidRPr="006A6D32">
        <w:rPr>
          <w:rFonts w:asciiTheme="minorHAnsi" w:hAnsiTheme="minorHAnsi" w:cstheme="minorHAnsi"/>
          <w:sz w:val="24"/>
          <w:szCs w:val="24"/>
        </w:rPr>
        <w:t>vil afdække de eventuelle lovgivningsmæssige barrierer der kan være, fx registreringskrav under REACH,</w:t>
      </w:r>
      <w:r w:rsidR="005C5B6F" w:rsidRPr="006A6D32">
        <w:rPr>
          <w:rFonts w:asciiTheme="minorHAnsi" w:hAnsiTheme="minorHAnsi" w:cstheme="minorHAnsi"/>
          <w:sz w:val="24"/>
          <w:szCs w:val="24"/>
        </w:rPr>
        <w:t xml:space="preserve"> sammenstød med affaldslovgivningen og</w:t>
      </w:r>
      <w:r w:rsidRPr="006A6D32">
        <w:rPr>
          <w:rFonts w:asciiTheme="minorHAnsi" w:hAnsiTheme="minorHAnsi" w:cstheme="minorHAnsi"/>
          <w:sz w:val="24"/>
          <w:szCs w:val="24"/>
        </w:rPr>
        <w:t xml:space="preserve"> vilkår i miljøgodkendelser, der kan være et begrænsende incitamentet</w:t>
      </w:r>
      <w:r w:rsidR="00DB7C45" w:rsidRPr="006A6D32">
        <w:rPr>
          <w:rFonts w:asciiTheme="minorHAnsi" w:hAnsiTheme="minorHAnsi" w:cstheme="minorHAnsi"/>
          <w:sz w:val="24"/>
          <w:szCs w:val="24"/>
        </w:rPr>
        <w:t xml:space="preserve"> eller barriere</w:t>
      </w:r>
      <w:r w:rsidR="004E2D5E" w:rsidRPr="006A6D32">
        <w:rPr>
          <w:rFonts w:asciiTheme="minorHAnsi" w:hAnsiTheme="minorHAnsi" w:cstheme="minorHAnsi"/>
          <w:sz w:val="24"/>
          <w:szCs w:val="24"/>
        </w:rPr>
        <w:t>r</w:t>
      </w:r>
      <w:r w:rsidRPr="006A6D32">
        <w:rPr>
          <w:rFonts w:asciiTheme="minorHAnsi" w:hAnsiTheme="minorHAnsi" w:cstheme="minorHAnsi"/>
          <w:sz w:val="24"/>
          <w:szCs w:val="24"/>
        </w:rPr>
        <w:t xml:space="preserve"> </w:t>
      </w:r>
      <w:r w:rsidR="00DB7C45" w:rsidRPr="006A6D32">
        <w:rPr>
          <w:rFonts w:asciiTheme="minorHAnsi" w:hAnsiTheme="minorHAnsi" w:cstheme="minorHAnsi"/>
          <w:sz w:val="24"/>
          <w:szCs w:val="24"/>
        </w:rPr>
        <w:t>for</w:t>
      </w:r>
      <w:r w:rsidRPr="006A6D32">
        <w:rPr>
          <w:rFonts w:asciiTheme="minorHAnsi" w:hAnsiTheme="minorHAnsi" w:cstheme="minorHAnsi"/>
          <w:sz w:val="24"/>
          <w:szCs w:val="24"/>
        </w:rPr>
        <w:t xml:space="preserve"> genanvendelse. </w:t>
      </w:r>
    </w:p>
    <w:p w:rsidR="00BE4989" w:rsidRPr="006A6D32" w:rsidRDefault="00BE4989" w:rsidP="00BE4989">
      <w:pPr>
        <w:pStyle w:val="Listeafsnit"/>
        <w:rPr>
          <w:rFonts w:asciiTheme="minorHAnsi" w:hAnsiTheme="minorHAnsi" w:cstheme="minorHAnsi"/>
          <w:sz w:val="24"/>
          <w:szCs w:val="24"/>
        </w:rPr>
      </w:pPr>
    </w:p>
    <w:p w:rsidR="001B341F" w:rsidRPr="006A6D32" w:rsidRDefault="00BE4989" w:rsidP="00A447BE">
      <w:pPr>
        <w:pStyle w:val="Overskrift3"/>
        <w:spacing w:before="0"/>
        <w:rPr>
          <w:rFonts w:asciiTheme="minorHAnsi" w:hAnsiTheme="minorHAnsi" w:cstheme="minorHAnsi"/>
        </w:rPr>
      </w:pPr>
      <w:r w:rsidRPr="006A6D32">
        <w:rPr>
          <w:rFonts w:asciiTheme="minorHAnsi" w:hAnsiTheme="minorHAnsi" w:cstheme="minorHAnsi"/>
        </w:rPr>
        <w:t>Projektets</w:t>
      </w:r>
      <w:r w:rsidR="001B341F" w:rsidRPr="006A6D32">
        <w:rPr>
          <w:rFonts w:asciiTheme="minorHAnsi" w:hAnsiTheme="minorHAnsi" w:cstheme="minorHAnsi"/>
        </w:rPr>
        <w:t xml:space="preserve"> konkrete teknologiske nyhedsværdi</w:t>
      </w:r>
    </w:p>
    <w:p w:rsidR="00A447BE" w:rsidRPr="006A6D32" w:rsidRDefault="00A447BE" w:rsidP="00A447BE">
      <w:pPr>
        <w:rPr>
          <w:rFonts w:asciiTheme="minorHAnsi" w:hAnsiTheme="minorHAnsi" w:cstheme="minorHAnsi"/>
          <w:sz w:val="24"/>
          <w:szCs w:val="24"/>
        </w:rPr>
      </w:pPr>
      <w:r w:rsidRPr="006A6D32">
        <w:rPr>
          <w:rFonts w:asciiTheme="minorHAnsi" w:hAnsiTheme="minorHAnsi" w:cstheme="minorHAnsi"/>
          <w:sz w:val="24"/>
          <w:szCs w:val="24"/>
        </w:rPr>
        <w:t>Der er planlagt 3 casestudier, som skal afdække, analysere og finde løsninger på de teknologiske problemstillinger, der opstår, når de kemiske ressourcer genanvendes, både for de virksomheder der generere</w:t>
      </w:r>
      <w:r w:rsidR="004E2D5E" w:rsidRPr="006A6D32">
        <w:rPr>
          <w:rFonts w:asciiTheme="minorHAnsi" w:hAnsiTheme="minorHAnsi" w:cstheme="minorHAnsi"/>
          <w:sz w:val="24"/>
          <w:szCs w:val="24"/>
        </w:rPr>
        <w:t>r</w:t>
      </w:r>
      <w:r w:rsidRPr="006A6D32">
        <w:rPr>
          <w:rFonts w:asciiTheme="minorHAnsi" w:hAnsiTheme="minorHAnsi" w:cstheme="minorHAnsi"/>
          <w:sz w:val="24"/>
          <w:szCs w:val="24"/>
        </w:rPr>
        <w:t xml:space="preserve"> de sekundære kemiske ressourcer, og for de virksomheder der vil kunne anvende disse sekundære ressourcer.</w:t>
      </w:r>
    </w:p>
    <w:p w:rsidR="00A447BE" w:rsidRPr="006A6D32" w:rsidRDefault="00A447BE" w:rsidP="00A447BE">
      <w:pPr>
        <w:rPr>
          <w:rFonts w:asciiTheme="minorHAnsi" w:hAnsiTheme="minorHAnsi" w:cstheme="minorHAnsi"/>
          <w:sz w:val="24"/>
          <w:szCs w:val="24"/>
        </w:rPr>
      </w:pPr>
    </w:p>
    <w:p w:rsidR="00A447BE" w:rsidRPr="006A6D32" w:rsidRDefault="00A447BE" w:rsidP="00A447BE">
      <w:pPr>
        <w:rPr>
          <w:rFonts w:asciiTheme="minorHAnsi" w:hAnsiTheme="minorHAnsi" w:cstheme="minorHAnsi"/>
          <w:sz w:val="24"/>
          <w:szCs w:val="24"/>
        </w:rPr>
      </w:pPr>
      <w:r w:rsidRPr="006A6D32">
        <w:rPr>
          <w:rFonts w:asciiTheme="minorHAnsi" w:hAnsiTheme="minorHAnsi" w:cstheme="minorHAnsi"/>
          <w:sz w:val="24"/>
          <w:szCs w:val="24"/>
        </w:rPr>
        <w:t xml:space="preserve"> Det vil omfatte:</w:t>
      </w:r>
    </w:p>
    <w:p w:rsidR="00A447BE" w:rsidRPr="006A6D32" w:rsidRDefault="00A447BE" w:rsidP="00A447BE">
      <w:pPr>
        <w:pStyle w:val="Listeafsnit"/>
        <w:numPr>
          <w:ilvl w:val="0"/>
          <w:numId w:val="5"/>
        </w:numPr>
        <w:overflowPunct/>
        <w:autoSpaceDE/>
        <w:autoSpaceDN/>
        <w:adjustRightInd/>
        <w:spacing w:after="160" w:line="259" w:lineRule="auto"/>
        <w:textAlignment w:val="auto"/>
        <w:rPr>
          <w:rFonts w:asciiTheme="minorHAnsi" w:hAnsiTheme="minorHAnsi" w:cstheme="minorHAnsi"/>
          <w:sz w:val="24"/>
          <w:szCs w:val="24"/>
        </w:rPr>
      </w:pPr>
      <w:r w:rsidRPr="006A6D32">
        <w:rPr>
          <w:rFonts w:asciiTheme="minorHAnsi" w:hAnsiTheme="minorHAnsi" w:cstheme="minorHAnsi"/>
          <w:b/>
          <w:sz w:val="24"/>
          <w:szCs w:val="24"/>
        </w:rPr>
        <w:t>Kildekarakterisering</w:t>
      </w:r>
      <w:r w:rsidRPr="006A6D32">
        <w:rPr>
          <w:rFonts w:asciiTheme="minorHAnsi" w:hAnsiTheme="minorHAnsi" w:cstheme="minorHAnsi"/>
          <w:sz w:val="24"/>
          <w:szCs w:val="24"/>
        </w:rPr>
        <w:t xml:space="preserve">: Identifikation og separering af kilder til sekundære kemiske ressourcer i produktionssystemer. Aktuelt sammenblandes kemisk affald, så det passer med den kategorisering som affaldsbehandlingen kræver, fx halogenerede organiske stoffer, ikke halogenerede organiske stoffer, syrer/ baser, og mineralolieholdige fraktioner. Idet produktion ofte foregår batchvis skal affaldsstrømme med genbrugelige ressourcer identificeres fysisk (hvor i fabrikken opstår de) og tidsmæssigt (hvilken batchproduktion). Herefter kan de tekniske muligheder for isolering og opsamling af de brugte kemiske ressourcer vurderes, herunder behovet for tekniske tiltag og investeringer. </w:t>
      </w:r>
    </w:p>
    <w:p w:rsidR="00A447BE" w:rsidRPr="006A6D32" w:rsidRDefault="00A447BE" w:rsidP="00A447BE">
      <w:pPr>
        <w:pStyle w:val="Listeafsnit"/>
        <w:numPr>
          <w:ilvl w:val="0"/>
          <w:numId w:val="5"/>
        </w:numPr>
        <w:overflowPunct/>
        <w:autoSpaceDE/>
        <w:autoSpaceDN/>
        <w:adjustRightInd/>
        <w:spacing w:after="160" w:line="259" w:lineRule="auto"/>
        <w:textAlignment w:val="auto"/>
        <w:rPr>
          <w:rFonts w:asciiTheme="minorHAnsi" w:hAnsiTheme="minorHAnsi" w:cstheme="minorHAnsi"/>
          <w:sz w:val="24"/>
          <w:szCs w:val="24"/>
        </w:rPr>
      </w:pPr>
      <w:r w:rsidRPr="006A6D32">
        <w:rPr>
          <w:rFonts w:asciiTheme="minorHAnsi" w:hAnsiTheme="minorHAnsi" w:cstheme="minorHAnsi"/>
          <w:b/>
          <w:sz w:val="24"/>
          <w:szCs w:val="24"/>
        </w:rPr>
        <w:t>Oprensning</w:t>
      </w:r>
      <w:r w:rsidRPr="006A6D32">
        <w:rPr>
          <w:rFonts w:asciiTheme="minorHAnsi" w:hAnsiTheme="minorHAnsi" w:cstheme="minorHAnsi"/>
          <w:sz w:val="24"/>
          <w:szCs w:val="24"/>
        </w:rPr>
        <w:t xml:space="preserve">: De separerede sekundære kemiske ressourcer kan indeholde urenheder som gør dem mindre attraktive til genanvendelse, fx vandindhold. Der eksisterer en række tekniske muligheder for behandling og separering, og det skal vurderes om en evt. oprensning før genanvendelse er mulig, nødvendig og rentabel. </w:t>
      </w:r>
    </w:p>
    <w:p w:rsidR="00A447BE" w:rsidRPr="006A6D32" w:rsidRDefault="00A447BE" w:rsidP="00A447BE">
      <w:pPr>
        <w:pStyle w:val="Listeafsnit"/>
        <w:numPr>
          <w:ilvl w:val="0"/>
          <w:numId w:val="5"/>
        </w:numPr>
        <w:overflowPunct/>
        <w:autoSpaceDE/>
        <w:autoSpaceDN/>
        <w:adjustRightInd/>
        <w:spacing w:after="160" w:line="259" w:lineRule="auto"/>
        <w:textAlignment w:val="auto"/>
        <w:rPr>
          <w:rFonts w:asciiTheme="minorHAnsi" w:hAnsiTheme="minorHAnsi" w:cstheme="minorHAnsi"/>
          <w:sz w:val="24"/>
          <w:szCs w:val="24"/>
        </w:rPr>
      </w:pPr>
      <w:r w:rsidRPr="006A6D32">
        <w:rPr>
          <w:rFonts w:asciiTheme="minorHAnsi" w:hAnsiTheme="minorHAnsi" w:cstheme="minorHAnsi"/>
          <w:b/>
          <w:sz w:val="24"/>
          <w:szCs w:val="24"/>
        </w:rPr>
        <w:t>Sporbarhed</w:t>
      </w:r>
      <w:r w:rsidRPr="006A6D32">
        <w:rPr>
          <w:rFonts w:asciiTheme="minorHAnsi" w:hAnsiTheme="minorHAnsi" w:cstheme="minorHAnsi"/>
          <w:sz w:val="24"/>
          <w:szCs w:val="24"/>
        </w:rPr>
        <w:t xml:space="preserve">: Det undersøges, om der kan etableres en sporing af de enkelte </w:t>
      </w:r>
      <w:proofErr w:type="gramStart"/>
      <w:r w:rsidRPr="006A6D32">
        <w:rPr>
          <w:rFonts w:asciiTheme="minorHAnsi" w:hAnsiTheme="minorHAnsi" w:cstheme="minorHAnsi"/>
          <w:sz w:val="24"/>
          <w:szCs w:val="24"/>
        </w:rPr>
        <w:t>batch</w:t>
      </w:r>
      <w:r w:rsidR="004E2D5E" w:rsidRPr="006A6D32">
        <w:rPr>
          <w:rFonts w:asciiTheme="minorHAnsi" w:hAnsiTheme="minorHAnsi" w:cstheme="minorHAnsi"/>
          <w:sz w:val="24"/>
          <w:szCs w:val="24"/>
        </w:rPr>
        <w:t xml:space="preserve">es </w:t>
      </w:r>
      <w:r w:rsidRPr="006A6D32">
        <w:rPr>
          <w:rFonts w:asciiTheme="minorHAnsi" w:hAnsiTheme="minorHAnsi" w:cstheme="minorHAnsi"/>
          <w:sz w:val="24"/>
          <w:szCs w:val="24"/>
        </w:rPr>
        <w:t xml:space="preserve"> af</w:t>
      </w:r>
      <w:proofErr w:type="gramEnd"/>
      <w:r w:rsidRPr="006A6D32">
        <w:rPr>
          <w:rFonts w:asciiTheme="minorHAnsi" w:hAnsiTheme="minorHAnsi" w:cstheme="minorHAnsi"/>
          <w:sz w:val="24"/>
          <w:szCs w:val="24"/>
        </w:rPr>
        <w:t xml:space="preserve"> primære (virgine) kemiske ressourcer gennem den primære anvendelse, over evt. oprensning/ behandling og videre til den sekundære anvendelse. Sporingen skal omfatte oplysninger om identitet, historik og evt. kemisk karakterisering af hver enkelt batch af en sekundær kemikalieressource. Sporingen kan baseres på producentens Lot- eller batchnummer og den primære brugers IT baserede kvalitetssystem suppleret med oplysninger om efterfølgende behandling og karakterisering.</w:t>
      </w:r>
    </w:p>
    <w:p w:rsidR="00A447BE" w:rsidRPr="006A6D32" w:rsidRDefault="00A447BE" w:rsidP="00A447BE">
      <w:pPr>
        <w:pStyle w:val="Listeafsnit"/>
        <w:numPr>
          <w:ilvl w:val="0"/>
          <w:numId w:val="5"/>
        </w:numPr>
        <w:overflowPunct/>
        <w:autoSpaceDE/>
        <w:autoSpaceDN/>
        <w:adjustRightInd/>
        <w:spacing w:after="160" w:line="259" w:lineRule="auto"/>
        <w:textAlignment w:val="auto"/>
        <w:rPr>
          <w:rFonts w:asciiTheme="minorHAnsi" w:hAnsiTheme="minorHAnsi" w:cstheme="minorHAnsi"/>
          <w:sz w:val="24"/>
          <w:szCs w:val="24"/>
        </w:rPr>
      </w:pPr>
      <w:r w:rsidRPr="006A6D32">
        <w:rPr>
          <w:rFonts w:asciiTheme="minorHAnsi" w:hAnsiTheme="minorHAnsi" w:cstheme="minorHAnsi"/>
          <w:b/>
          <w:sz w:val="24"/>
          <w:szCs w:val="24"/>
        </w:rPr>
        <w:t>Karakterisering</w:t>
      </w:r>
      <w:r w:rsidRPr="006A6D32">
        <w:rPr>
          <w:rFonts w:asciiTheme="minorHAnsi" w:hAnsiTheme="minorHAnsi" w:cstheme="minorHAnsi"/>
          <w:sz w:val="24"/>
          <w:szCs w:val="24"/>
        </w:rPr>
        <w:t xml:space="preserve">: I forbindelse med genbrug af kemiske ressourcer er det nødvendigt at kunne dokumentere ressourcens kvalitet, herunder evt. urenheder, før det kan afsættes til en sekundær bruger. Karakteriseringen kan fx omfatte kemisk analyse. De konkrete krav til karakteriseringen afhænger af den aktuelle historik og sandsynlige urenheder, fx afsmitning fra tidligere anvendelser, samt de krav en sekundær bruger stiller til kvaliteten. Karakteriseringen supplerer ovennævnte sporbarhed og skal vedlægges som dokumentation til den pågældende batch af den sekundære ressource. </w:t>
      </w:r>
    </w:p>
    <w:p w:rsidR="004E2D5E" w:rsidRPr="006A6D32" w:rsidRDefault="004E2D5E" w:rsidP="00A447BE">
      <w:pPr>
        <w:pStyle w:val="Listeafsnit"/>
        <w:numPr>
          <w:ilvl w:val="0"/>
          <w:numId w:val="6"/>
        </w:numPr>
        <w:overflowPunct/>
        <w:autoSpaceDE/>
        <w:autoSpaceDN/>
        <w:adjustRightInd/>
        <w:spacing w:after="160" w:line="259" w:lineRule="auto"/>
        <w:textAlignment w:val="auto"/>
        <w:rPr>
          <w:rFonts w:asciiTheme="minorHAnsi" w:hAnsiTheme="minorHAnsi" w:cstheme="minorHAnsi"/>
          <w:sz w:val="24"/>
          <w:szCs w:val="24"/>
        </w:rPr>
      </w:pPr>
      <w:r w:rsidRPr="006A6D32">
        <w:rPr>
          <w:rFonts w:asciiTheme="minorHAnsi" w:hAnsiTheme="minorHAnsi" w:cstheme="minorHAnsi"/>
          <w:b/>
          <w:sz w:val="24"/>
          <w:szCs w:val="24"/>
        </w:rPr>
        <w:t xml:space="preserve">Generiske kvalitetsstandarder </w:t>
      </w:r>
      <w:r w:rsidRPr="006A6D32">
        <w:rPr>
          <w:rFonts w:asciiTheme="minorHAnsi" w:hAnsiTheme="minorHAnsi" w:cstheme="minorHAnsi"/>
          <w:sz w:val="24"/>
          <w:szCs w:val="24"/>
        </w:rPr>
        <w:t>vil igennem projektet blive forsøgt etableret i</w:t>
      </w:r>
      <w:r w:rsidR="00A447BE" w:rsidRPr="006A6D32">
        <w:rPr>
          <w:rFonts w:asciiTheme="minorHAnsi" w:hAnsiTheme="minorHAnsi" w:cstheme="minorHAnsi"/>
          <w:sz w:val="24"/>
          <w:szCs w:val="24"/>
        </w:rPr>
        <w:t xml:space="preserve"> stedet for at gå ”en til en” for den sekundære ressource til konkret brug</w:t>
      </w:r>
      <w:r w:rsidRPr="006A6D32">
        <w:rPr>
          <w:rFonts w:asciiTheme="minorHAnsi" w:hAnsiTheme="minorHAnsi" w:cstheme="minorHAnsi"/>
          <w:sz w:val="24"/>
          <w:szCs w:val="24"/>
        </w:rPr>
        <w:t>. U</w:t>
      </w:r>
      <w:r w:rsidR="00A447BE" w:rsidRPr="006A6D32">
        <w:rPr>
          <w:rFonts w:asciiTheme="minorHAnsi" w:hAnsiTheme="minorHAnsi" w:cstheme="minorHAnsi"/>
          <w:sz w:val="24"/>
          <w:szCs w:val="24"/>
        </w:rPr>
        <w:t>dgangspunktet</w:t>
      </w:r>
      <w:r w:rsidRPr="006A6D32">
        <w:rPr>
          <w:rFonts w:asciiTheme="minorHAnsi" w:hAnsiTheme="minorHAnsi" w:cstheme="minorHAnsi"/>
          <w:sz w:val="24"/>
          <w:szCs w:val="24"/>
        </w:rPr>
        <w:t xml:space="preserve"> vil være </w:t>
      </w:r>
      <w:r w:rsidR="00A447BE" w:rsidRPr="006A6D32">
        <w:rPr>
          <w:rFonts w:asciiTheme="minorHAnsi" w:hAnsiTheme="minorHAnsi" w:cstheme="minorHAnsi"/>
          <w:sz w:val="24"/>
          <w:szCs w:val="24"/>
        </w:rPr>
        <w:t xml:space="preserve">de stoffer, der indgår i de tre casestudier. </w:t>
      </w:r>
    </w:p>
    <w:p w:rsidR="004E2D5E" w:rsidRPr="006A6D32" w:rsidRDefault="004E2D5E" w:rsidP="00A447BE">
      <w:pPr>
        <w:pStyle w:val="Listeafsnit"/>
        <w:numPr>
          <w:ilvl w:val="0"/>
          <w:numId w:val="6"/>
        </w:numPr>
        <w:overflowPunct/>
        <w:autoSpaceDE/>
        <w:autoSpaceDN/>
        <w:adjustRightInd/>
        <w:spacing w:after="160" w:line="259" w:lineRule="auto"/>
        <w:textAlignment w:val="auto"/>
        <w:rPr>
          <w:rFonts w:asciiTheme="minorHAnsi" w:hAnsiTheme="minorHAnsi" w:cstheme="minorHAnsi"/>
          <w:sz w:val="24"/>
          <w:szCs w:val="24"/>
        </w:rPr>
      </w:pPr>
      <w:r w:rsidRPr="006A6D32">
        <w:rPr>
          <w:rFonts w:asciiTheme="minorHAnsi" w:hAnsiTheme="minorHAnsi" w:cstheme="minorHAnsi"/>
          <w:b/>
          <w:sz w:val="24"/>
          <w:szCs w:val="24"/>
        </w:rPr>
        <w:t xml:space="preserve">IT baseret system, </w:t>
      </w:r>
      <w:r w:rsidRPr="006A6D32">
        <w:rPr>
          <w:rFonts w:asciiTheme="minorHAnsi" w:hAnsiTheme="minorHAnsi" w:cstheme="minorHAnsi"/>
          <w:sz w:val="24"/>
          <w:szCs w:val="24"/>
        </w:rPr>
        <w:t>der kan identificere konkret kemiske ressourcers vej igennem forsyningskæden, vil muligvis skulle udvikles, men dette vil projektforløbet afdække om der et behov herfor</w:t>
      </w:r>
    </w:p>
    <w:p w:rsidR="00403F69" w:rsidRPr="006A6D32" w:rsidRDefault="00403F69" w:rsidP="00403F69">
      <w:pPr>
        <w:rPr>
          <w:rFonts w:asciiTheme="minorHAnsi" w:hAnsiTheme="minorHAnsi" w:cstheme="minorHAnsi"/>
          <w:sz w:val="24"/>
          <w:szCs w:val="24"/>
        </w:rPr>
      </w:pPr>
    </w:p>
    <w:p w:rsidR="00BE4989" w:rsidRPr="006A6D32" w:rsidRDefault="00BE4989" w:rsidP="00BE4989">
      <w:pPr>
        <w:pStyle w:val="Overskrift3"/>
        <w:rPr>
          <w:rFonts w:asciiTheme="minorHAnsi" w:hAnsiTheme="minorHAnsi" w:cstheme="minorHAnsi"/>
        </w:rPr>
      </w:pPr>
      <w:r w:rsidRPr="006A6D32">
        <w:rPr>
          <w:rFonts w:asciiTheme="minorHAnsi" w:hAnsiTheme="minorHAnsi" w:cstheme="minorHAnsi"/>
        </w:rPr>
        <w:t>Kommunikation af projektets resultater</w:t>
      </w:r>
    </w:p>
    <w:p w:rsidR="0007555F" w:rsidRPr="006A6D32" w:rsidRDefault="0007555F" w:rsidP="00403F69">
      <w:pPr>
        <w:rPr>
          <w:rFonts w:asciiTheme="minorHAnsi" w:hAnsiTheme="minorHAnsi" w:cstheme="minorHAnsi"/>
          <w:sz w:val="24"/>
          <w:szCs w:val="24"/>
        </w:rPr>
      </w:pPr>
      <w:r w:rsidRPr="006A6D32">
        <w:rPr>
          <w:rFonts w:asciiTheme="minorHAnsi" w:hAnsiTheme="minorHAnsi" w:cstheme="minorHAnsi"/>
          <w:sz w:val="24"/>
          <w:szCs w:val="24"/>
        </w:rPr>
        <w:t xml:space="preserve">Det er tanken at kommunikere resultaterne af dette </w:t>
      </w:r>
      <w:r w:rsidR="00403F69" w:rsidRPr="006A6D32">
        <w:rPr>
          <w:rFonts w:asciiTheme="minorHAnsi" w:hAnsiTheme="minorHAnsi" w:cstheme="minorHAnsi"/>
          <w:sz w:val="24"/>
          <w:szCs w:val="24"/>
        </w:rPr>
        <w:t>demonstrationsprojekt</w:t>
      </w:r>
      <w:r w:rsidRPr="006A6D32">
        <w:rPr>
          <w:rFonts w:asciiTheme="minorHAnsi" w:hAnsiTheme="minorHAnsi" w:cstheme="minorHAnsi"/>
          <w:sz w:val="24"/>
          <w:szCs w:val="24"/>
        </w:rPr>
        <w:t xml:space="preserve"> </w:t>
      </w:r>
      <w:r w:rsidR="00403F69" w:rsidRPr="006A6D32">
        <w:rPr>
          <w:rFonts w:asciiTheme="minorHAnsi" w:hAnsiTheme="minorHAnsi" w:cstheme="minorHAnsi"/>
          <w:sz w:val="24"/>
          <w:szCs w:val="24"/>
        </w:rPr>
        <w:t>til interessenter hos industri og brancheorganisationer</w:t>
      </w:r>
      <w:r w:rsidRPr="006A6D32">
        <w:rPr>
          <w:rFonts w:asciiTheme="minorHAnsi" w:hAnsiTheme="minorHAnsi" w:cstheme="minorHAnsi"/>
          <w:sz w:val="24"/>
          <w:szCs w:val="24"/>
        </w:rPr>
        <w:t xml:space="preserve"> bl.a. </w:t>
      </w:r>
      <w:r w:rsidR="00403F69" w:rsidRPr="006A6D32">
        <w:rPr>
          <w:rFonts w:asciiTheme="minorHAnsi" w:hAnsiTheme="minorHAnsi" w:cstheme="minorHAnsi"/>
          <w:sz w:val="24"/>
          <w:szCs w:val="24"/>
        </w:rPr>
        <w:t>ved en konference, hvor de deltagende industrier og projektets team fremlægger resultater og erfaringer.</w:t>
      </w:r>
    </w:p>
    <w:p w:rsidR="0007555F" w:rsidRPr="006A6D32" w:rsidRDefault="0007555F" w:rsidP="00403F69">
      <w:pPr>
        <w:rPr>
          <w:rFonts w:asciiTheme="minorHAnsi" w:hAnsiTheme="minorHAnsi" w:cstheme="minorHAnsi"/>
          <w:sz w:val="24"/>
          <w:szCs w:val="24"/>
        </w:rPr>
      </w:pPr>
    </w:p>
    <w:p w:rsidR="00403F69" w:rsidRPr="006A6D32" w:rsidRDefault="0007555F" w:rsidP="00403F69">
      <w:pPr>
        <w:rPr>
          <w:rFonts w:asciiTheme="minorHAnsi" w:hAnsiTheme="minorHAnsi" w:cstheme="minorHAnsi"/>
          <w:sz w:val="24"/>
          <w:szCs w:val="24"/>
        </w:rPr>
      </w:pPr>
      <w:r w:rsidRPr="006A6D32">
        <w:rPr>
          <w:rFonts w:asciiTheme="minorHAnsi" w:hAnsiTheme="minorHAnsi" w:cstheme="minorHAnsi"/>
          <w:sz w:val="24"/>
          <w:szCs w:val="24"/>
        </w:rPr>
        <w:t>Projektets r</w:t>
      </w:r>
      <w:r w:rsidR="00403F69" w:rsidRPr="006A6D32">
        <w:rPr>
          <w:rFonts w:asciiTheme="minorHAnsi" w:hAnsiTheme="minorHAnsi" w:cstheme="minorHAnsi"/>
          <w:sz w:val="24"/>
          <w:szCs w:val="24"/>
        </w:rPr>
        <w:t>esultater</w:t>
      </w:r>
      <w:r w:rsidRPr="006A6D32">
        <w:rPr>
          <w:rFonts w:asciiTheme="minorHAnsi" w:hAnsiTheme="minorHAnsi" w:cstheme="minorHAnsi"/>
          <w:sz w:val="24"/>
          <w:szCs w:val="24"/>
        </w:rPr>
        <w:t xml:space="preserve"> vil blive</w:t>
      </w:r>
      <w:r w:rsidR="00403F69" w:rsidRPr="006A6D32">
        <w:rPr>
          <w:rFonts w:asciiTheme="minorHAnsi" w:hAnsiTheme="minorHAnsi" w:cstheme="minorHAnsi"/>
          <w:sz w:val="24"/>
          <w:szCs w:val="24"/>
        </w:rPr>
        <w:t xml:space="preserve"> fremstille</w:t>
      </w:r>
      <w:r w:rsidRPr="006A6D32">
        <w:rPr>
          <w:rFonts w:asciiTheme="minorHAnsi" w:hAnsiTheme="minorHAnsi" w:cstheme="minorHAnsi"/>
          <w:sz w:val="24"/>
          <w:szCs w:val="24"/>
        </w:rPr>
        <w:t>t</w:t>
      </w:r>
      <w:r w:rsidR="00403F69" w:rsidRPr="006A6D32">
        <w:rPr>
          <w:rFonts w:asciiTheme="minorHAnsi" w:hAnsiTheme="minorHAnsi" w:cstheme="minorHAnsi"/>
          <w:sz w:val="24"/>
          <w:szCs w:val="24"/>
        </w:rPr>
        <w:t xml:space="preserve"> som en generisk metode, som kan anvendes på andre affaldsprodukter og værdikæder. Det </w:t>
      </w:r>
      <w:r w:rsidR="00DB30CB" w:rsidRPr="006A6D32">
        <w:rPr>
          <w:rFonts w:asciiTheme="minorHAnsi" w:hAnsiTheme="minorHAnsi" w:cstheme="minorHAnsi"/>
          <w:sz w:val="24"/>
          <w:szCs w:val="24"/>
        </w:rPr>
        <w:t xml:space="preserve">er tanken at inddrage det </w:t>
      </w:r>
      <w:r w:rsidR="00403F69" w:rsidRPr="006A6D32">
        <w:rPr>
          <w:rFonts w:asciiTheme="minorHAnsi" w:hAnsiTheme="minorHAnsi" w:cstheme="minorHAnsi"/>
          <w:sz w:val="24"/>
          <w:szCs w:val="24"/>
        </w:rPr>
        <w:t>eksisterende Partnerskab for Substitution (TI/ DHI), da der er et interessefællesskab omkring kemikalieindustrien.</w:t>
      </w:r>
    </w:p>
    <w:p w:rsidR="00885370" w:rsidRPr="006A6D32" w:rsidRDefault="00885370" w:rsidP="00403F69">
      <w:pPr>
        <w:rPr>
          <w:rFonts w:asciiTheme="minorHAnsi" w:hAnsiTheme="minorHAnsi" w:cstheme="minorHAnsi"/>
          <w:sz w:val="24"/>
          <w:szCs w:val="24"/>
        </w:rPr>
      </w:pPr>
    </w:p>
    <w:p w:rsidR="00FD73D6" w:rsidRPr="006A6D32" w:rsidRDefault="00885370" w:rsidP="00802AE1">
      <w:pPr>
        <w:pStyle w:val="Overskrift2"/>
        <w:spacing w:before="0"/>
        <w:rPr>
          <w:rFonts w:asciiTheme="minorHAnsi" w:hAnsiTheme="minorHAnsi" w:cstheme="minorHAnsi"/>
          <w:sz w:val="24"/>
          <w:szCs w:val="24"/>
        </w:rPr>
      </w:pPr>
      <w:r w:rsidRPr="006A6D32">
        <w:rPr>
          <w:rFonts w:asciiTheme="minorHAnsi" w:hAnsiTheme="minorHAnsi" w:cstheme="minorHAnsi"/>
          <w:sz w:val="24"/>
          <w:szCs w:val="24"/>
        </w:rPr>
        <w:t>Projektets systematik</w:t>
      </w:r>
    </w:p>
    <w:p w:rsidR="00FD73D6" w:rsidRPr="006A6D32" w:rsidRDefault="00FD73D6" w:rsidP="00FD73D6">
      <w:pPr>
        <w:rPr>
          <w:rFonts w:asciiTheme="minorHAnsi" w:hAnsiTheme="minorHAnsi" w:cstheme="minorHAnsi"/>
          <w:sz w:val="24"/>
          <w:szCs w:val="24"/>
        </w:rPr>
      </w:pPr>
      <w:r w:rsidRPr="006A6D32">
        <w:rPr>
          <w:rFonts w:asciiTheme="minorHAnsi" w:hAnsiTheme="minorHAnsi" w:cstheme="minorHAnsi"/>
          <w:sz w:val="24"/>
          <w:szCs w:val="24"/>
        </w:rPr>
        <w:t>Centralt for gennemførelse af projektet er identificering af tre cases</w:t>
      </w:r>
      <w:r w:rsidR="00802AE1" w:rsidRPr="006A6D32">
        <w:rPr>
          <w:rFonts w:asciiTheme="minorHAnsi" w:hAnsiTheme="minorHAnsi" w:cstheme="minorHAnsi"/>
          <w:sz w:val="24"/>
          <w:szCs w:val="24"/>
        </w:rPr>
        <w:t xml:space="preserve"> der hver repræsenterer en kemiske ressourcer og en forsyningskæde.</w:t>
      </w:r>
    </w:p>
    <w:p w:rsidR="00802AE1" w:rsidRPr="006A6D32" w:rsidRDefault="00802AE1" w:rsidP="00FD73D6">
      <w:pPr>
        <w:rPr>
          <w:rFonts w:asciiTheme="minorHAnsi" w:hAnsiTheme="minorHAnsi" w:cstheme="minorHAnsi"/>
          <w:sz w:val="24"/>
          <w:szCs w:val="24"/>
        </w:rPr>
      </w:pPr>
    </w:p>
    <w:p w:rsidR="00802AE1" w:rsidRPr="006A6D32" w:rsidRDefault="00802AE1" w:rsidP="00FD73D6">
      <w:pPr>
        <w:rPr>
          <w:rFonts w:asciiTheme="minorHAnsi" w:hAnsiTheme="minorHAnsi" w:cstheme="minorHAnsi"/>
          <w:sz w:val="24"/>
          <w:szCs w:val="24"/>
        </w:rPr>
      </w:pPr>
      <w:r w:rsidRPr="006A6D32">
        <w:rPr>
          <w:rFonts w:asciiTheme="minorHAnsi" w:hAnsiTheme="minorHAnsi" w:cstheme="minorHAnsi"/>
          <w:sz w:val="24"/>
          <w:szCs w:val="24"/>
        </w:rPr>
        <w:t>Over for Miljøstyrelsen er følgende casestudier bragt i forslag:</w:t>
      </w:r>
    </w:p>
    <w:p w:rsidR="00802AE1" w:rsidRPr="006A6D32" w:rsidRDefault="00802AE1" w:rsidP="00FD73D6">
      <w:pPr>
        <w:rPr>
          <w:rFonts w:asciiTheme="minorHAnsi" w:hAnsiTheme="minorHAnsi" w:cstheme="minorHAnsi"/>
          <w:sz w:val="24"/>
          <w:szCs w:val="24"/>
        </w:rPr>
      </w:pPr>
    </w:p>
    <w:p w:rsidR="00802AE1" w:rsidRPr="006A6D32" w:rsidRDefault="00802AE1" w:rsidP="00FD73D6">
      <w:pPr>
        <w:rPr>
          <w:rFonts w:asciiTheme="minorHAnsi" w:hAnsiTheme="minorHAnsi" w:cstheme="minorHAnsi"/>
          <w:sz w:val="24"/>
          <w:szCs w:val="24"/>
        </w:rPr>
      </w:pPr>
    </w:p>
    <w:tbl>
      <w:tblPr>
        <w:tblStyle w:val="Tabel-Gitter"/>
        <w:tblW w:w="0" w:type="auto"/>
        <w:tblInd w:w="-5" w:type="dxa"/>
        <w:tblLook w:val="04A0" w:firstRow="1" w:lastRow="0" w:firstColumn="1" w:lastColumn="0" w:noHBand="0" w:noVBand="1"/>
      </w:tblPr>
      <w:tblGrid>
        <w:gridCol w:w="4820"/>
        <w:gridCol w:w="4813"/>
      </w:tblGrid>
      <w:tr w:rsidR="00802AE1" w:rsidRPr="006A6D32" w:rsidTr="008079D7">
        <w:tc>
          <w:tcPr>
            <w:tcW w:w="4820" w:type="dxa"/>
          </w:tcPr>
          <w:p w:rsidR="00802AE1" w:rsidRPr="006A6D32" w:rsidRDefault="00802AE1" w:rsidP="008079D7">
            <w:pPr>
              <w:pStyle w:val="Overskrift1"/>
              <w:outlineLvl w:val="0"/>
              <w:rPr>
                <w:rFonts w:asciiTheme="minorHAnsi" w:hAnsiTheme="minorHAnsi" w:cstheme="minorHAnsi"/>
                <w:color w:val="444444"/>
                <w:sz w:val="24"/>
                <w:szCs w:val="24"/>
              </w:rPr>
            </w:pPr>
            <w:r w:rsidRPr="006A6D32">
              <w:rPr>
                <w:rFonts w:asciiTheme="minorHAnsi" w:hAnsiTheme="minorHAnsi" w:cstheme="minorHAnsi"/>
                <w:color w:val="444444"/>
                <w:sz w:val="24"/>
                <w:szCs w:val="24"/>
              </w:rPr>
              <w:t>Case 1</w:t>
            </w:r>
          </w:p>
        </w:tc>
        <w:tc>
          <w:tcPr>
            <w:tcW w:w="4813" w:type="dxa"/>
          </w:tcPr>
          <w:p w:rsidR="00802AE1" w:rsidRPr="006A6D32" w:rsidRDefault="00802AE1" w:rsidP="008079D7">
            <w:pPr>
              <w:pStyle w:val="Overskrift1"/>
              <w:outlineLvl w:val="0"/>
              <w:rPr>
                <w:rFonts w:asciiTheme="minorHAnsi" w:hAnsiTheme="minorHAnsi" w:cstheme="minorHAnsi"/>
                <w:color w:val="444444"/>
                <w:sz w:val="24"/>
                <w:szCs w:val="24"/>
              </w:rPr>
            </w:pPr>
            <w:r w:rsidRPr="006A6D32">
              <w:rPr>
                <w:rFonts w:asciiTheme="minorHAnsi" w:hAnsiTheme="minorHAnsi" w:cstheme="minorHAnsi"/>
                <w:color w:val="444444"/>
                <w:sz w:val="24"/>
                <w:szCs w:val="24"/>
              </w:rPr>
              <w:t>Anvendelse af sekundære opløsningsmidler</w:t>
            </w:r>
          </w:p>
        </w:tc>
      </w:tr>
      <w:tr w:rsidR="00802AE1" w:rsidRPr="006A6D32" w:rsidTr="008079D7">
        <w:tc>
          <w:tcPr>
            <w:tcW w:w="4820"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Leverandører af primære opløsningsmidler</w:t>
            </w:r>
          </w:p>
        </w:tc>
        <w:tc>
          <w:tcPr>
            <w:tcW w:w="4813" w:type="dxa"/>
          </w:tcPr>
          <w:p w:rsidR="00802AE1" w:rsidRPr="006A6D32" w:rsidRDefault="00802AE1" w:rsidP="008079D7">
            <w:pPr>
              <w:pStyle w:val="Overskrift1"/>
              <w:outlineLvl w:val="0"/>
              <w:rPr>
                <w:rFonts w:asciiTheme="minorHAnsi" w:hAnsiTheme="minorHAnsi" w:cstheme="minorHAnsi"/>
                <w:b w:val="0"/>
                <w:color w:val="444444"/>
                <w:sz w:val="24"/>
                <w:szCs w:val="24"/>
                <w:lang w:val="en-US"/>
              </w:rPr>
            </w:pPr>
            <w:r w:rsidRPr="006A6D32">
              <w:rPr>
                <w:rFonts w:asciiTheme="minorHAnsi" w:hAnsiTheme="minorHAnsi" w:cstheme="minorHAnsi"/>
                <w:b w:val="0"/>
                <w:color w:val="444444"/>
                <w:sz w:val="24"/>
                <w:szCs w:val="24"/>
                <w:lang w:val="en-US"/>
              </w:rPr>
              <w:t>Univar A/S, Helm Skandinavien A/S, Brenntag Nordic A/S</w:t>
            </w:r>
          </w:p>
          <w:p w:rsidR="00802AE1" w:rsidRPr="006A6D32" w:rsidRDefault="00802AE1" w:rsidP="008079D7">
            <w:pPr>
              <w:pStyle w:val="Overskrift1"/>
              <w:ind w:left="360"/>
              <w:outlineLvl w:val="0"/>
              <w:rPr>
                <w:rFonts w:asciiTheme="minorHAnsi" w:hAnsiTheme="minorHAnsi" w:cstheme="minorHAnsi"/>
                <w:b w:val="0"/>
                <w:color w:val="444444"/>
                <w:sz w:val="24"/>
                <w:szCs w:val="24"/>
                <w:lang w:val="en-US"/>
              </w:rPr>
            </w:pPr>
          </w:p>
        </w:tc>
      </w:tr>
      <w:tr w:rsidR="00802AE1" w:rsidRPr="006A6D32" w:rsidTr="008079D7">
        <w:tc>
          <w:tcPr>
            <w:tcW w:w="4820"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Leverandør af de sekundære opløsningsmidler</w:t>
            </w:r>
          </w:p>
        </w:tc>
        <w:tc>
          <w:tcPr>
            <w:tcW w:w="4813" w:type="dxa"/>
          </w:tcPr>
          <w:p w:rsidR="00802AE1" w:rsidRPr="006A6D32" w:rsidRDefault="00802AE1" w:rsidP="008079D7">
            <w:pPr>
              <w:pStyle w:val="Overskrift1"/>
              <w:outlineLvl w:val="0"/>
              <w:rPr>
                <w:rFonts w:asciiTheme="minorHAnsi" w:hAnsiTheme="minorHAnsi" w:cstheme="minorHAnsi"/>
                <w:b w:val="0"/>
                <w:color w:val="444444"/>
                <w:sz w:val="24"/>
                <w:szCs w:val="24"/>
                <w:lang w:val="en-US"/>
              </w:rPr>
            </w:pPr>
            <w:r w:rsidRPr="006A6D32">
              <w:rPr>
                <w:rFonts w:asciiTheme="minorHAnsi" w:hAnsiTheme="minorHAnsi" w:cstheme="minorHAnsi"/>
                <w:b w:val="0"/>
                <w:color w:val="444444"/>
                <w:sz w:val="24"/>
                <w:szCs w:val="24"/>
                <w:lang w:val="en-US"/>
              </w:rPr>
              <w:t>Lundbeck A/S, Leo Pharma A/S</w:t>
            </w:r>
          </w:p>
        </w:tc>
      </w:tr>
      <w:tr w:rsidR="00802AE1" w:rsidRPr="006A6D32" w:rsidTr="008079D7">
        <w:tc>
          <w:tcPr>
            <w:tcW w:w="4820"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 xml:space="preserve">Potentiel aftager af sekundære opløsningsmidler </w:t>
            </w:r>
          </w:p>
        </w:tc>
        <w:tc>
          <w:tcPr>
            <w:tcW w:w="4813"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Nordcoll A/S</w:t>
            </w:r>
          </w:p>
        </w:tc>
      </w:tr>
      <w:tr w:rsidR="00802AE1" w:rsidRPr="006A6D32" w:rsidTr="008079D7">
        <w:tc>
          <w:tcPr>
            <w:tcW w:w="4820"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Formidler af sekundære opløsningsmidler</w:t>
            </w:r>
          </w:p>
        </w:tc>
        <w:tc>
          <w:tcPr>
            <w:tcW w:w="4813" w:type="dxa"/>
          </w:tcPr>
          <w:p w:rsidR="00802AE1" w:rsidRPr="006A6D32" w:rsidRDefault="00802AE1" w:rsidP="008079D7">
            <w:pPr>
              <w:pStyle w:val="Overskrift1"/>
              <w:outlineLvl w:val="0"/>
              <w:rPr>
                <w:rFonts w:asciiTheme="minorHAnsi" w:hAnsiTheme="minorHAnsi" w:cstheme="minorHAnsi"/>
                <w:b w:val="0"/>
                <w:color w:val="444444"/>
                <w:sz w:val="24"/>
                <w:szCs w:val="24"/>
                <w:lang w:val="en-US"/>
              </w:rPr>
            </w:pPr>
            <w:r w:rsidRPr="006A6D32">
              <w:rPr>
                <w:rFonts w:asciiTheme="minorHAnsi" w:hAnsiTheme="minorHAnsi" w:cstheme="minorHAnsi"/>
                <w:b w:val="0"/>
                <w:color w:val="444444"/>
                <w:sz w:val="24"/>
                <w:szCs w:val="24"/>
                <w:lang w:val="en-US"/>
              </w:rPr>
              <w:t>Stena Recycling A/S, Univar A/S, Helms Skandinavien A/S, Brenntag Nordic A/S</w:t>
            </w:r>
          </w:p>
        </w:tc>
      </w:tr>
    </w:tbl>
    <w:p w:rsidR="00802AE1" w:rsidRPr="006A6D32" w:rsidRDefault="00802AE1" w:rsidP="00802AE1">
      <w:pPr>
        <w:pStyle w:val="Overskrift1"/>
        <w:ind w:left="360"/>
        <w:rPr>
          <w:rFonts w:asciiTheme="minorHAnsi" w:hAnsiTheme="minorHAnsi" w:cstheme="minorHAnsi"/>
          <w:b w:val="0"/>
          <w:color w:val="444444"/>
          <w:sz w:val="24"/>
          <w:szCs w:val="24"/>
          <w:lang w:val="en-US"/>
        </w:rPr>
      </w:pPr>
    </w:p>
    <w:tbl>
      <w:tblPr>
        <w:tblStyle w:val="Tabel-Gitter"/>
        <w:tblW w:w="0" w:type="auto"/>
        <w:tblInd w:w="-5" w:type="dxa"/>
        <w:tblLook w:val="04A0" w:firstRow="1" w:lastRow="0" w:firstColumn="1" w:lastColumn="0" w:noHBand="0" w:noVBand="1"/>
      </w:tblPr>
      <w:tblGrid>
        <w:gridCol w:w="4820"/>
        <w:gridCol w:w="4813"/>
      </w:tblGrid>
      <w:tr w:rsidR="00802AE1" w:rsidRPr="006A6D32" w:rsidTr="008079D7">
        <w:tc>
          <w:tcPr>
            <w:tcW w:w="4820" w:type="dxa"/>
          </w:tcPr>
          <w:p w:rsidR="00802AE1" w:rsidRPr="006A6D32" w:rsidRDefault="00802AE1" w:rsidP="008079D7">
            <w:pPr>
              <w:pStyle w:val="Overskrift1"/>
              <w:outlineLvl w:val="0"/>
              <w:rPr>
                <w:rFonts w:asciiTheme="minorHAnsi" w:hAnsiTheme="minorHAnsi" w:cstheme="minorHAnsi"/>
                <w:color w:val="444444"/>
                <w:sz w:val="24"/>
                <w:szCs w:val="24"/>
              </w:rPr>
            </w:pPr>
            <w:r w:rsidRPr="006A6D32">
              <w:rPr>
                <w:rFonts w:asciiTheme="minorHAnsi" w:hAnsiTheme="minorHAnsi" w:cstheme="minorHAnsi"/>
                <w:color w:val="444444"/>
                <w:sz w:val="24"/>
                <w:szCs w:val="24"/>
              </w:rPr>
              <w:t>Case 2</w:t>
            </w:r>
          </w:p>
        </w:tc>
        <w:tc>
          <w:tcPr>
            <w:tcW w:w="4813" w:type="dxa"/>
          </w:tcPr>
          <w:p w:rsidR="00802AE1" w:rsidRPr="006A6D32" w:rsidRDefault="00802AE1" w:rsidP="008079D7">
            <w:pPr>
              <w:pStyle w:val="Overskrift1"/>
              <w:outlineLvl w:val="0"/>
              <w:rPr>
                <w:rFonts w:asciiTheme="minorHAnsi" w:hAnsiTheme="minorHAnsi" w:cstheme="minorHAnsi"/>
                <w:color w:val="444444"/>
                <w:sz w:val="24"/>
                <w:szCs w:val="24"/>
              </w:rPr>
            </w:pPr>
            <w:r w:rsidRPr="006A6D32">
              <w:rPr>
                <w:rFonts w:asciiTheme="minorHAnsi" w:hAnsiTheme="minorHAnsi" w:cstheme="minorHAnsi"/>
                <w:color w:val="444444"/>
                <w:sz w:val="24"/>
                <w:szCs w:val="24"/>
              </w:rPr>
              <w:t>Anvendelse af sekundære syrer/base</w:t>
            </w:r>
          </w:p>
        </w:tc>
      </w:tr>
      <w:tr w:rsidR="00802AE1" w:rsidRPr="006A6D32" w:rsidTr="008079D7">
        <w:tc>
          <w:tcPr>
            <w:tcW w:w="4820"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Leverandører af primære syrer/baser</w:t>
            </w:r>
          </w:p>
        </w:tc>
        <w:tc>
          <w:tcPr>
            <w:tcW w:w="4813" w:type="dxa"/>
          </w:tcPr>
          <w:p w:rsidR="00802AE1" w:rsidRPr="006A6D32" w:rsidRDefault="00802AE1" w:rsidP="008079D7">
            <w:pPr>
              <w:pStyle w:val="Overskrift1"/>
              <w:outlineLvl w:val="0"/>
              <w:rPr>
                <w:rFonts w:asciiTheme="minorHAnsi" w:hAnsiTheme="minorHAnsi" w:cstheme="minorHAnsi"/>
                <w:b w:val="0"/>
                <w:color w:val="444444"/>
                <w:sz w:val="24"/>
                <w:szCs w:val="24"/>
                <w:lang w:val="en-US"/>
              </w:rPr>
            </w:pPr>
            <w:r w:rsidRPr="006A6D32">
              <w:rPr>
                <w:rFonts w:asciiTheme="minorHAnsi" w:hAnsiTheme="minorHAnsi" w:cstheme="minorHAnsi"/>
                <w:b w:val="0"/>
                <w:color w:val="444444"/>
                <w:sz w:val="24"/>
                <w:szCs w:val="24"/>
                <w:lang w:val="en-US"/>
              </w:rPr>
              <w:t>Univar A/S, Helm Skandinavien A/S, Brenntag Nordic A/S</w:t>
            </w:r>
          </w:p>
        </w:tc>
      </w:tr>
      <w:tr w:rsidR="00802AE1" w:rsidRPr="006A6D32" w:rsidTr="008079D7">
        <w:tc>
          <w:tcPr>
            <w:tcW w:w="4820"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Leverandører af sekundære kemiske ressourcer</w:t>
            </w:r>
          </w:p>
        </w:tc>
        <w:tc>
          <w:tcPr>
            <w:tcW w:w="4813"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Arla, Nordisk Aluminat A/S</w:t>
            </w:r>
          </w:p>
        </w:tc>
      </w:tr>
      <w:tr w:rsidR="00802AE1" w:rsidRPr="006A6D32" w:rsidTr="008079D7">
        <w:tc>
          <w:tcPr>
            <w:tcW w:w="4820"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Potentielle aftagere af de sekundære syrer/baser</w:t>
            </w:r>
          </w:p>
        </w:tc>
        <w:tc>
          <w:tcPr>
            <w:tcW w:w="4813"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Arla, Nordisk Aluminat A/S</w:t>
            </w:r>
          </w:p>
        </w:tc>
      </w:tr>
      <w:tr w:rsidR="00802AE1" w:rsidRPr="006A6D32" w:rsidTr="008079D7">
        <w:tc>
          <w:tcPr>
            <w:tcW w:w="4820"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Formidler af sekundære syrer/bases</w:t>
            </w:r>
          </w:p>
        </w:tc>
        <w:tc>
          <w:tcPr>
            <w:tcW w:w="4813" w:type="dxa"/>
          </w:tcPr>
          <w:p w:rsidR="00802AE1" w:rsidRPr="006A6D32" w:rsidRDefault="00802AE1" w:rsidP="008079D7">
            <w:pPr>
              <w:pStyle w:val="Overskrift1"/>
              <w:outlineLvl w:val="0"/>
              <w:rPr>
                <w:rFonts w:asciiTheme="minorHAnsi" w:hAnsiTheme="minorHAnsi" w:cstheme="minorHAnsi"/>
                <w:b w:val="0"/>
                <w:color w:val="444444"/>
                <w:sz w:val="24"/>
                <w:szCs w:val="24"/>
                <w:lang w:val="en-US"/>
              </w:rPr>
            </w:pPr>
            <w:r w:rsidRPr="006A6D32">
              <w:rPr>
                <w:rFonts w:asciiTheme="minorHAnsi" w:hAnsiTheme="minorHAnsi" w:cstheme="minorHAnsi"/>
                <w:b w:val="0"/>
                <w:color w:val="444444"/>
                <w:sz w:val="24"/>
                <w:szCs w:val="24"/>
                <w:lang w:val="en-US"/>
              </w:rPr>
              <w:t>Stena Recycling A/S, Univar A/S, Helm Skandinavien A/S, Brenntag Nordic A/S</w:t>
            </w:r>
          </w:p>
        </w:tc>
      </w:tr>
    </w:tbl>
    <w:p w:rsidR="00802AE1" w:rsidRPr="006A6D32" w:rsidRDefault="00802AE1" w:rsidP="00802AE1">
      <w:pPr>
        <w:pStyle w:val="Overskrift1"/>
        <w:rPr>
          <w:rFonts w:asciiTheme="minorHAnsi" w:hAnsiTheme="minorHAnsi" w:cstheme="minorHAnsi"/>
          <w:b w:val="0"/>
          <w:color w:val="444444"/>
          <w:sz w:val="24"/>
          <w:szCs w:val="24"/>
          <w:lang w:val="en-US"/>
        </w:rPr>
      </w:pPr>
    </w:p>
    <w:tbl>
      <w:tblPr>
        <w:tblStyle w:val="Tabel-Gitter"/>
        <w:tblW w:w="0" w:type="auto"/>
        <w:tblLook w:val="04A0" w:firstRow="1" w:lastRow="0" w:firstColumn="1" w:lastColumn="0" w:noHBand="0" w:noVBand="1"/>
      </w:tblPr>
      <w:tblGrid>
        <w:gridCol w:w="4814"/>
        <w:gridCol w:w="4814"/>
      </w:tblGrid>
      <w:tr w:rsidR="00802AE1" w:rsidRPr="006A6D32" w:rsidTr="008079D7">
        <w:tc>
          <w:tcPr>
            <w:tcW w:w="4814" w:type="dxa"/>
          </w:tcPr>
          <w:p w:rsidR="00802AE1" w:rsidRPr="006A6D32" w:rsidRDefault="00802AE1" w:rsidP="008079D7">
            <w:pPr>
              <w:pStyle w:val="Overskrift1"/>
              <w:outlineLvl w:val="0"/>
              <w:rPr>
                <w:rFonts w:asciiTheme="minorHAnsi" w:hAnsiTheme="minorHAnsi" w:cstheme="minorHAnsi"/>
                <w:color w:val="444444"/>
                <w:sz w:val="24"/>
                <w:szCs w:val="24"/>
              </w:rPr>
            </w:pPr>
            <w:r w:rsidRPr="006A6D32">
              <w:rPr>
                <w:rFonts w:asciiTheme="minorHAnsi" w:hAnsiTheme="minorHAnsi" w:cstheme="minorHAnsi"/>
                <w:color w:val="444444"/>
                <w:sz w:val="24"/>
                <w:szCs w:val="24"/>
              </w:rPr>
              <w:lastRenderedPageBreak/>
              <w:t xml:space="preserve">Case 3 </w:t>
            </w:r>
          </w:p>
        </w:tc>
        <w:tc>
          <w:tcPr>
            <w:tcW w:w="4814" w:type="dxa"/>
          </w:tcPr>
          <w:p w:rsidR="00802AE1" w:rsidRPr="006A6D32" w:rsidRDefault="00802AE1" w:rsidP="008079D7">
            <w:pPr>
              <w:pStyle w:val="Overskrift1"/>
              <w:outlineLvl w:val="0"/>
              <w:rPr>
                <w:rFonts w:asciiTheme="minorHAnsi" w:hAnsiTheme="minorHAnsi" w:cstheme="minorHAnsi"/>
                <w:color w:val="444444"/>
                <w:sz w:val="24"/>
                <w:szCs w:val="24"/>
              </w:rPr>
            </w:pPr>
            <w:r w:rsidRPr="006A6D32">
              <w:rPr>
                <w:rFonts w:asciiTheme="minorHAnsi" w:hAnsiTheme="minorHAnsi" w:cstheme="minorHAnsi"/>
                <w:color w:val="444444"/>
                <w:sz w:val="24"/>
                <w:szCs w:val="24"/>
              </w:rPr>
              <w:t>Anvendelse af sekundære glykol</w:t>
            </w:r>
          </w:p>
        </w:tc>
      </w:tr>
      <w:tr w:rsidR="00802AE1" w:rsidRPr="006A6D32" w:rsidTr="008079D7">
        <w:tc>
          <w:tcPr>
            <w:tcW w:w="4814"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Leverandører af primær glycol</w:t>
            </w:r>
          </w:p>
        </w:tc>
        <w:tc>
          <w:tcPr>
            <w:tcW w:w="4814" w:type="dxa"/>
          </w:tcPr>
          <w:p w:rsidR="00802AE1" w:rsidRPr="006A6D32" w:rsidRDefault="00802AE1" w:rsidP="008079D7">
            <w:pPr>
              <w:pStyle w:val="Overskrift1"/>
              <w:outlineLvl w:val="0"/>
              <w:rPr>
                <w:rFonts w:asciiTheme="minorHAnsi" w:hAnsiTheme="minorHAnsi" w:cstheme="minorHAnsi"/>
                <w:b w:val="0"/>
                <w:color w:val="444444"/>
                <w:sz w:val="24"/>
                <w:szCs w:val="24"/>
                <w:lang w:val="en-US"/>
              </w:rPr>
            </w:pPr>
            <w:r w:rsidRPr="006A6D32">
              <w:rPr>
                <w:rFonts w:asciiTheme="minorHAnsi" w:hAnsiTheme="minorHAnsi" w:cstheme="minorHAnsi"/>
                <w:b w:val="0"/>
                <w:color w:val="444444"/>
                <w:sz w:val="24"/>
                <w:szCs w:val="24"/>
                <w:lang w:val="en-US"/>
              </w:rPr>
              <w:t xml:space="preserve">Univar A/S, Helm Skandinavien A/S Brenntag A/S </w:t>
            </w:r>
          </w:p>
        </w:tc>
      </w:tr>
      <w:tr w:rsidR="00802AE1" w:rsidRPr="006A6D32" w:rsidTr="008079D7">
        <w:tc>
          <w:tcPr>
            <w:tcW w:w="4814" w:type="dxa"/>
          </w:tcPr>
          <w:p w:rsidR="00802AE1" w:rsidRPr="006A6D32" w:rsidRDefault="00802AE1" w:rsidP="008079D7">
            <w:pPr>
              <w:pStyle w:val="Overskrift1"/>
              <w:outlineLvl w:val="0"/>
              <w:rPr>
                <w:rFonts w:asciiTheme="minorHAnsi" w:hAnsiTheme="minorHAnsi" w:cstheme="minorHAnsi"/>
                <w:b w:val="0"/>
                <w:color w:val="444444"/>
                <w:sz w:val="24"/>
                <w:szCs w:val="24"/>
                <w:lang w:val="en-US"/>
              </w:rPr>
            </w:pPr>
            <w:r w:rsidRPr="006A6D32">
              <w:rPr>
                <w:rFonts w:asciiTheme="minorHAnsi" w:hAnsiTheme="minorHAnsi" w:cstheme="minorHAnsi"/>
                <w:b w:val="0"/>
                <w:color w:val="444444"/>
                <w:sz w:val="24"/>
                <w:szCs w:val="24"/>
              </w:rPr>
              <w:t>Leverandører af sekundær</w:t>
            </w:r>
            <w:r w:rsidRPr="006A6D32">
              <w:rPr>
                <w:rFonts w:asciiTheme="minorHAnsi" w:hAnsiTheme="minorHAnsi" w:cstheme="minorHAnsi"/>
                <w:b w:val="0"/>
                <w:color w:val="444444"/>
                <w:sz w:val="24"/>
                <w:szCs w:val="24"/>
                <w:lang w:val="en-US"/>
              </w:rPr>
              <w:t xml:space="preserve"> glycol</w:t>
            </w:r>
          </w:p>
        </w:tc>
        <w:tc>
          <w:tcPr>
            <w:tcW w:w="4814" w:type="dxa"/>
          </w:tcPr>
          <w:p w:rsidR="00802AE1" w:rsidRPr="006A6D32" w:rsidRDefault="00802AE1" w:rsidP="008079D7">
            <w:pPr>
              <w:pStyle w:val="Overskrift1"/>
              <w:outlineLvl w:val="0"/>
              <w:rPr>
                <w:rFonts w:asciiTheme="minorHAnsi" w:hAnsiTheme="minorHAnsi" w:cstheme="minorHAnsi"/>
                <w:b w:val="0"/>
                <w:color w:val="444444"/>
                <w:sz w:val="24"/>
                <w:szCs w:val="24"/>
                <w:lang w:val="en-US"/>
              </w:rPr>
            </w:pPr>
            <w:r w:rsidRPr="006A6D32">
              <w:rPr>
                <w:rFonts w:asciiTheme="minorHAnsi" w:hAnsiTheme="minorHAnsi" w:cstheme="minorHAnsi"/>
                <w:b w:val="0"/>
                <w:color w:val="444444"/>
                <w:sz w:val="24"/>
                <w:szCs w:val="24"/>
                <w:lang w:val="en-US"/>
              </w:rPr>
              <w:t>Lufthavne</w:t>
            </w:r>
          </w:p>
        </w:tc>
      </w:tr>
      <w:tr w:rsidR="00802AE1" w:rsidRPr="006A6D32" w:rsidTr="008079D7">
        <w:tc>
          <w:tcPr>
            <w:tcW w:w="4814" w:type="dxa"/>
          </w:tcPr>
          <w:p w:rsidR="00802AE1" w:rsidRPr="006A6D32" w:rsidRDefault="00802AE1" w:rsidP="008079D7">
            <w:pPr>
              <w:pStyle w:val="Overskrift1"/>
              <w:outlineLvl w:val="0"/>
              <w:rPr>
                <w:rFonts w:asciiTheme="minorHAnsi" w:hAnsiTheme="minorHAnsi" w:cstheme="minorHAnsi"/>
                <w:b w:val="0"/>
                <w:color w:val="444444"/>
                <w:sz w:val="24"/>
                <w:szCs w:val="24"/>
              </w:rPr>
            </w:pPr>
            <w:r w:rsidRPr="006A6D32">
              <w:rPr>
                <w:rFonts w:asciiTheme="minorHAnsi" w:hAnsiTheme="minorHAnsi" w:cstheme="minorHAnsi"/>
                <w:b w:val="0"/>
                <w:color w:val="444444"/>
                <w:sz w:val="24"/>
                <w:szCs w:val="24"/>
              </w:rPr>
              <w:t>Potentielle aftagere af sekundær glycol</w:t>
            </w:r>
          </w:p>
        </w:tc>
        <w:tc>
          <w:tcPr>
            <w:tcW w:w="4814" w:type="dxa"/>
          </w:tcPr>
          <w:p w:rsidR="00802AE1" w:rsidRPr="006A6D32" w:rsidRDefault="00802AE1" w:rsidP="008079D7">
            <w:pPr>
              <w:pStyle w:val="Overskrift1"/>
              <w:outlineLvl w:val="0"/>
              <w:rPr>
                <w:rFonts w:asciiTheme="minorHAnsi" w:hAnsiTheme="minorHAnsi" w:cstheme="minorHAnsi"/>
                <w:b w:val="0"/>
                <w:color w:val="444444"/>
                <w:sz w:val="24"/>
                <w:szCs w:val="24"/>
                <w:lang w:val="en-US"/>
              </w:rPr>
            </w:pPr>
            <w:r w:rsidRPr="006A6D32">
              <w:rPr>
                <w:rFonts w:asciiTheme="minorHAnsi" w:hAnsiTheme="minorHAnsi" w:cstheme="minorHAnsi"/>
                <w:b w:val="0"/>
                <w:color w:val="444444"/>
                <w:sz w:val="24"/>
                <w:szCs w:val="24"/>
                <w:lang w:val="en-US"/>
              </w:rPr>
              <w:t>Stena Recycling A/S, Recyctec Holding AB</w:t>
            </w:r>
          </w:p>
        </w:tc>
      </w:tr>
      <w:tr w:rsidR="00802AE1" w:rsidRPr="006A6D32" w:rsidTr="008079D7">
        <w:tc>
          <w:tcPr>
            <w:tcW w:w="4814" w:type="dxa"/>
          </w:tcPr>
          <w:p w:rsidR="00802AE1" w:rsidRPr="006A6D32" w:rsidRDefault="00802AE1" w:rsidP="008079D7">
            <w:pPr>
              <w:pStyle w:val="Overskrift1"/>
              <w:outlineLvl w:val="0"/>
              <w:rPr>
                <w:rFonts w:asciiTheme="minorHAnsi" w:hAnsiTheme="minorHAnsi" w:cstheme="minorHAnsi"/>
                <w:b w:val="0"/>
                <w:color w:val="444444"/>
                <w:sz w:val="24"/>
                <w:szCs w:val="24"/>
                <w:lang w:val="en-US"/>
              </w:rPr>
            </w:pPr>
            <w:r w:rsidRPr="006A6D32">
              <w:rPr>
                <w:rFonts w:asciiTheme="minorHAnsi" w:hAnsiTheme="minorHAnsi" w:cstheme="minorHAnsi"/>
                <w:b w:val="0"/>
                <w:color w:val="444444"/>
                <w:sz w:val="24"/>
                <w:szCs w:val="24"/>
              </w:rPr>
              <w:t>Formidler af sekundær</w:t>
            </w:r>
            <w:r w:rsidRPr="006A6D32">
              <w:rPr>
                <w:rFonts w:asciiTheme="minorHAnsi" w:hAnsiTheme="minorHAnsi" w:cstheme="minorHAnsi"/>
                <w:b w:val="0"/>
                <w:color w:val="444444"/>
                <w:sz w:val="24"/>
                <w:szCs w:val="24"/>
                <w:lang w:val="en-US"/>
              </w:rPr>
              <w:t xml:space="preserve"> glycol</w:t>
            </w:r>
          </w:p>
        </w:tc>
        <w:tc>
          <w:tcPr>
            <w:tcW w:w="4814" w:type="dxa"/>
          </w:tcPr>
          <w:p w:rsidR="00802AE1" w:rsidRPr="006A6D32" w:rsidRDefault="00802AE1" w:rsidP="008079D7">
            <w:pPr>
              <w:pStyle w:val="Overskrift1"/>
              <w:outlineLvl w:val="0"/>
              <w:rPr>
                <w:rFonts w:asciiTheme="minorHAnsi" w:hAnsiTheme="minorHAnsi" w:cstheme="minorHAnsi"/>
                <w:b w:val="0"/>
                <w:color w:val="444444"/>
                <w:sz w:val="24"/>
                <w:szCs w:val="24"/>
                <w:lang w:val="en-US"/>
              </w:rPr>
            </w:pPr>
            <w:r w:rsidRPr="006A6D32">
              <w:rPr>
                <w:rFonts w:asciiTheme="minorHAnsi" w:hAnsiTheme="minorHAnsi" w:cstheme="minorHAnsi"/>
                <w:b w:val="0"/>
                <w:color w:val="444444"/>
                <w:sz w:val="24"/>
                <w:szCs w:val="24"/>
                <w:lang w:val="en-US"/>
              </w:rPr>
              <w:t>Stena Recycling A/S, Recyctec Holding AB</w:t>
            </w:r>
          </w:p>
        </w:tc>
      </w:tr>
    </w:tbl>
    <w:p w:rsidR="00802AE1" w:rsidRPr="006A6D32" w:rsidRDefault="00802AE1" w:rsidP="00FD73D6">
      <w:pPr>
        <w:rPr>
          <w:rFonts w:asciiTheme="minorHAnsi" w:hAnsiTheme="minorHAnsi" w:cstheme="minorHAnsi"/>
          <w:sz w:val="24"/>
          <w:szCs w:val="24"/>
          <w:lang w:val="en-US"/>
        </w:rPr>
      </w:pPr>
    </w:p>
    <w:p w:rsidR="00802AE1" w:rsidRPr="006A6D32" w:rsidRDefault="00802AE1" w:rsidP="00FD73D6">
      <w:pPr>
        <w:rPr>
          <w:rFonts w:asciiTheme="minorHAnsi" w:hAnsiTheme="minorHAnsi" w:cstheme="minorHAnsi"/>
          <w:sz w:val="24"/>
          <w:szCs w:val="24"/>
          <w:lang w:val="en-US"/>
        </w:rPr>
      </w:pPr>
    </w:p>
    <w:p w:rsidR="00802AE1" w:rsidRPr="006A6D32" w:rsidRDefault="00802AE1" w:rsidP="00FD73D6">
      <w:pPr>
        <w:rPr>
          <w:rFonts w:asciiTheme="minorHAnsi" w:hAnsiTheme="minorHAnsi" w:cstheme="minorHAnsi"/>
          <w:sz w:val="24"/>
          <w:szCs w:val="24"/>
          <w:lang w:val="en-US"/>
        </w:rPr>
      </w:pPr>
    </w:p>
    <w:p w:rsidR="00802AE1" w:rsidRPr="006A6D32" w:rsidRDefault="00802AE1" w:rsidP="00FD73D6">
      <w:pPr>
        <w:rPr>
          <w:rFonts w:asciiTheme="minorHAnsi" w:hAnsiTheme="minorHAnsi" w:cstheme="minorHAnsi"/>
          <w:sz w:val="24"/>
          <w:szCs w:val="24"/>
          <w:lang w:val="en-US"/>
        </w:rPr>
      </w:pPr>
    </w:p>
    <w:p w:rsidR="000D3569" w:rsidRPr="006A6D32" w:rsidRDefault="00802AE1" w:rsidP="002F0630">
      <w:pPr>
        <w:rPr>
          <w:rFonts w:asciiTheme="minorHAnsi" w:hAnsiTheme="minorHAnsi" w:cstheme="minorHAnsi"/>
          <w:color w:val="444444"/>
          <w:sz w:val="24"/>
          <w:szCs w:val="24"/>
        </w:rPr>
      </w:pPr>
      <w:r w:rsidRPr="006A6D32">
        <w:rPr>
          <w:rStyle w:val="Overskrift3Tegn"/>
          <w:rFonts w:asciiTheme="minorHAnsi" w:hAnsiTheme="minorHAnsi" w:cstheme="minorHAnsi"/>
        </w:rPr>
        <w:t xml:space="preserve">Projektet </w:t>
      </w:r>
      <w:r w:rsidR="002F0630" w:rsidRPr="006A6D32">
        <w:rPr>
          <w:rStyle w:val="Overskrift3Tegn"/>
          <w:rFonts w:asciiTheme="minorHAnsi" w:hAnsiTheme="minorHAnsi" w:cstheme="minorHAnsi"/>
        </w:rPr>
        <w:t xml:space="preserve">inddeling i </w:t>
      </w:r>
      <w:r w:rsidRPr="006A6D32">
        <w:rPr>
          <w:rStyle w:val="Overskrift3Tegn"/>
          <w:rFonts w:asciiTheme="minorHAnsi" w:hAnsiTheme="minorHAnsi" w:cstheme="minorHAnsi"/>
        </w:rPr>
        <w:t>6</w:t>
      </w:r>
      <w:r w:rsidR="004E2D5E" w:rsidRPr="006A6D32">
        <w:rPr>
          <w:rStyle w:val="Overskrift3Tegn"/>
          <w:rFonts w:asciiTheme="minorHAnsi" w:hAnsiTheme="minorHAnsi" w:cstheme="minorHAnsi"/>
        </w:rPr>
        <w:t xml:space="preserve"> overordnede</w:t>
      </w:r>
      <w:r w:rsidRPr="006A6D32">
        <w:rPr>
          <w:rStyle w:val="Overskrift3Tegn"/>
          <w:rFonts w:asciiTheme="minorHAnsi" w:hAnsiTheme="minorHAnsi" w:cstheme="minorHAnsi"/>
        </w:rPr>
        <w:t xml:space="preserve"> arbejdspakker</w:t>
      </w:r>
      <w:r w:rsidR="002F0630" w:rsidRPr="006A6D32">
        <w:rPr>
          <w:rFonts w:asciiTheme="minorHAnsi" w:hAnsiTheme="minorHAnsi" w:cstheme="minorHAnsi"/>
          <w:sz w:val="24"/>
          <w:szCs w:val="24"/>
        </w:rPr>
        <w:t>:</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294"/>
      </w:tblGrid>
      <w:tr w:rsidR="00802AE1" w:rsidRPr="006A6D32" w:rsidTr="00B500B6">
        <w:tc>
          <w:tcPr>
            <w:tcW w:w="9294" w:type="dxa"/>
          </w:tcPr>
          <w:p w:rsidR="00802AE1" w:rsidRPr="006A6D32" w:rsidRDefault="00802AE1" w:rsidP="008079D7">
            <w:pPr>
              <w:rPr>
                <w:rFonts w:asciiTheme="minorHAnsi" w:hAnsiTheme="minorHAnsi" w:cstheme="minorHAnsi"/>
                <w:sz w:val="24"/>
                <w:szCs w:val="24"/>
              </w:rPr>
            </w:pPr>
            <w:r w:rsidRPr="006A6D32">
              <w:rPr>
                <w:rFonts w:asciiTheme="minorHAnsi" w:hAnsiTheme="minorHAnsi" w:cstheme="minorHAnsi"/>
                <w:b/>
                <w:sz w:val="24"/>
                <w:szCs w:val="24"/>
              </w:rPr>
              <w:t xml:space="preserve">Arbejdspakke 0: </w:t>
            </w:r>
            <w:r w:rsidRPr="006A6D32">
              <w:rPr>
                <w:rFonts w:asciiTheme="minorHAnsi" w:hAnsiTheme="minorHAnsi" w:cstheme="minorHAnsi"/>
                <w:sz w:val="24"/>
                <w:szCs w:val="24"/>
              </w:rPr>
              <w:t>Forprojekt</w:t>
            </w:r>
            <w:r w:rsidR="00B500B6" w:rsidRPr="006A6D32">
              <w:rPr>
                <w:rFonts w:asciiTheme="minorHAnsi" w:hAnsiTheme="minorHAnsi" w:cstheme="minorHAnsi"/>
                <w:sz w:val="24"/>
                <w:szCs w:val="24"/>
              </w:rPr>
              <w:t xml:space="preserve"> – forberedelse af casene</w:t>
            </w:r>
          </w:p>
          <w:p w:rsidR="00822819" w:rsidRPr="006A6D32" w:rsidRDefault="00822819" w:rsidP="008079D7">
            <w:pPr>
              <w:rPr>
                <w:rFonts w:asciiTheme="minorHAnsi" w:hAnsiTheme="minorHAnsi" w:cstheme="minorHAnsi"/>
                <w:sz w:val="24"/>
                <w:szCs w:val="24"/>
              </w:rPr>
            </w:pPr>
          </w:p>
          <w:p w:rsidR="00822819" w:rsidRPr="006A6D32" w:rsidRDefault="00822819" w:rsidP="008079D7">
            <w:pPr>
              <w:rPr>
                <w:rFonts w:asciiTheme="minorHAnsi" w:hAnsiTheme="minorHAnsi" w:cstheme="minorHAnsi"/>
                <w:sz w:val="24"/>
                <w:szCs w:val="24"/>
              </w:rPr>
            </w:pPr>
            <w:r w:rsidRPr="006A6D32">
              <w:rPr>
                <w:rFonts w:asciiTheme="minorHAnsi" w:hAnsiTheme="minorHAnsi" w:cstheme="minorHAnsi"/>
                <w:sz w:val="24"/>
                <w:szCs w:val="24"/>
              </w:rPr>
              <w:t>Konkretisering af casene</w:t>
            </w:r>
          </w:p>
          <w:p w:rsidR="00822819" w:rsidRPr="006A6D32" w:rsidRDefault="00822819" w:rsidP="008079D7">
            <w:pPr>
              <w:rPr>
                <w:rFonts w:asciiTheme="minorHAnsi" w:hAnsiTheme="minorHAnsi" w:cstheme="minorHAnsi"/>
                <w:sz w:val="24"/>
                <w:szCs w:val="24"/>
              </w:rPr>
            </w:pPr>
            <w:r w:rsidRPr="006A6D32">
              <w:rPr>
                <w:rFonts w:asciiTheme="minorHAnsi" w:hAnsiTheme="minorHAnsi" w:cstheme="minorHAnsi"/>
                <w:sz w:val="24"/>
                <w:szCs w:val="24"/>
              </w:rPr>
              <w:t>Plan for gennemførelse af disse cases</w:t>
            </w:r>
          </w:p>
          <w:p w:rsidR="00822819" w:rsidRPr="006A6D32" w:rsidRDefault="00822819" w:rsidP="008079D7">
            <w:pPr>
              <w:rPr>
                <w:rFonts w:asciiTheme="minorHAnsi" w:hAnsiTheme="minorHAnsi" w:cstheme="minorHAnsi"/>
                <w:b/>
                <w:sz w:val="24"/>
                <w:szCs w:val="24"/>
              </w:rPr>
            </w:pPr>
          </w:p>
          <w:p w:rsidR="00822819" w:rsidRPr="006A6D32" w:rsidRDefault="00822819" w:rsidP="008079D7">
            <w:pPr>
              <w:rPr>
                <w:rFonts w:asciiTheme="minorHAnsi" w:hAnsiTheme="minorHAnsi" w:cstheme="minorHAnsi"/>
                <w:b/>
                <w:sz w:val="24"/>
                <w:szCs w:val="24"/>
              </w:rPr>
            </w:pPr>
          </w:p>
          <w:p w:rsidR="00802AE1" w:rsidRPr="006A6D32" w:rsidRDefault="00802AE1" w:rsidP="008079D7">
            <w:pPr>
              <w:rPr>
                <w:rFonts w:asciiTheme="minorHAnsi" w:hAnsiTheme="minorHAnsi" w:cstheme="minorHAnsi"/>
                <w:b/>
                <w:sz w:val="24"/>
                <w:szCs w:val="24"/>
              </w:rPr>
            </w:pPr>
          </w:p>
          <w:p w:rsidR="00802AE1" w:rsidRPr="006A6D32" w:rsidRDefault="00802AE1" w:rsidP="008079D7">
            <w:pPr>
              <w:rPr>
                <w:rFonts w:asciiTheme="minorHAnsi" w:hAnsiTheme="minorHAnsi" w:cstheme="minorHAnsi"/>
                <w:b/>
                <w:sz w:val="24"/>
                <w:szCs w:val="24"/>
              </w:rPr>
            </w:pPr>
          </w:p>
          <w:p w:rsidR="00802AE1" w:rsidRPr="006A6D32" w:rsidRDefault="00802AE1" w:rsidP="008079D7">
            <w:pPr>
              <w:rPr>
                <w:rFonts w:asciiTheme="minorHAnsi" w:hAnsiTheme="minorHAnsi" w:cstheme="minorHAnsi"/>
                <w:b/>
                <w:sz w:val="24"/>
                <w:szCs w:val="24"/>
              </w:rPr>
            </w:pPr>
          </w:p>
        </w:tc>
      </w:tr>
      <w:tr w:rsidR="00B500B6" w:rsidRPr="006A6D32" w:rsidTr="00B500B6">
        <w:tc>
          <w:tcPr>
            <w:tcW w:w="9294" w:type="dxa"/>
          </w:tcPr>
          <w:p w:rsidR="00B500B6" w:rsidRPr="006A6D32" w:rsidRDefault="00B500B6" w:rsidP="008079D7">
            <w:pPr>
              <w:rPr>
                <w:rFonts w:asciiTheme="minorHAnsi" w:hAnsiTheme="minorHAnsi" w:cstheme="minorHAnsi"/>
                <w:b/>
                <w:sz w:val="24"/>
                <w:szCs w:val="24"/>
              </w:rPr>
            </w:pPr>
            <w:r w:rsidRPr="006A6D32">
              <w:rPr>
                <w:rFonts w:asciiTheme="minorHAnsi" w:hAnsiTheme="minorHAnsi" w:cstheme="minorHAnsi"/>
                <w:b/>
                <w:sz w:val="24"/>
                <w:szCs w:val="24"/>
              </w:rPr>
              <w:t xml:space="preserve">Arbejdspakke 1: </w:t>
            </w:r>
            <w:r w:rsidR="00822819" w:rsidRPr="006A6D32">
              <w:rPr>
                <w:rFonts w:asciiTheme="minorHAnsi" w:hAnsiTheme="minorHAnsi" w:cstheme="minorHAnsi"/>
                <w:b/>
                <w:sz w:val="24"/>
                <w:szCs w:val="24"/>
              </w:rPr>
              <w:t>Gennemførelse af de forberedte cases</w:t>
            </w:r>
          </w:p>
        </w:tc>
      </w:tr>
      <w:tr w:rsidR="00885370" w:rsidRPr="006A6D32" w:rsidTr="00B500B6">
        <w:tc>
          <w:tcPr>
            <w:tcW w:w="9294" w:type="dxa"/>
          </w:tcPr>
          <w:p w:rsidR="00885370" w:rsidRPr="006A6D32" w:rsidRDefault="00885370" w:rsidP="008079D7">
            <w:pPr>
              <w:rPr>
                <w:rFonts w:asciiTheme="minorHAnsi" w:hAnsiTheme="minorHAnsi" w:cstheme="minorHAnsi"/>
                <w:sz w:val="24"/>
                <w:szCs w:val="24"/>
              </w:rPr>
            </w:pPr>
            <w:r w:rsidRPr="006A6D32">
              <w:rPr>
                <w:rFonts w:asciiTheme="minorHAnsi" w:hAnsiTheme="minorHAnsi" w:cstheme="minorHAnsi"/>
                <w:b/>
                <w:sz w:val="24"/>
                <w:szCs w:val="24"/>
              </w:rPr>
              <w:t xml:space="preserve">Arbejdspakke </w:t>
            </w:r>
            <w:r w:rsidR="00B500B6" w:rsidRPr="006A6D32">
              <w:rPr>
                <w:rFonts w:asciiTheme="minorHAnsi" w:hAnsiTheme="minorHAnsi" w:cstheme="minorHAnsi"/>
                <w:b/>
                <w:sz w:val="24"/>
                <w:szCs w:val="24"/>
              </w:rPr>
              <w:t>2</w:t>
            </w:r>
            <w:r w:rsidRPr="006A6D32">
              <w:rPr>
                <w:rFonts w:asciiTheme="minorHAnsi" w:hAnsiTheme="minorHAnsi" w:cstheme="minorHAnsi"/>
                <w:sz w:val="24"/>
                <w:szCs w:val="24"/>
              </w:rPr>
              <w:t>: Primære brugere af kemikalie-ressourcer</w:t>
            </w:r>
            <w:r w:rsidR="00B500B6" w:rsidRPr="006A6D32">
              <w:rPr>
                <w:rFonts w:asciiTheme="minorHAnsi" w:hAnsiTheme="minorHAnsi" w:cstheme="minorHAnsi"/>
                <w:sz w:val="24"/>
                <w:szCs w:val="24"/>
              </w:rPr>
              <w:t>/værktøjsorientret udvikling</w:t>
            </w:r>
            <w:r w:rsidRPr="006A6D32">
              <w:rPr>
                <w:rFonts w:asciiTheme="minorHAnsi" w:hAnsiTheme="minorHAnsi" w:cstheme="minorHAnsi"/>
                <w:sz w:val="24"/>
                <w:szCs w:val="24"/>
              </w:rPr>
              <w:t>.</w:t>
            </w:r>
          </w:p>
          <w:p w:rsidR="00885370" w:rsidRPr="006A6D32" w:rsidRDefault="00885370" w:rsidP="008079D7">
            <w:pPr>
              <w:ind w:firstLine="1304"/>
              <w:rPr>
                <w:rFonts w:asciiTheme="minorHAnsi" w:hAnsiTheme="minorHAnsi" w:cstheme="minorHAnsi"/>
                <w:sz w:val="24"/>
                <w:szCs w:val="24"/>
              </w:rPr>
            </w:pPr>
          </w:p>
          <w:p w:rsidR="00885370" w:rsidRPr="006A6D32" w:rsidRDefault="00885370" w:rsidP="008079D7">
            <w:pPr>
              <w:rPr>
                <w:rFonts w:asciiTheme="minorHAnsi" w:hAnsiTheme="minorHAnsi" w:cstheme="minorHAnsi"/>
                <w:sz w:val="24"/>
                <w:szCs w:val="24"/>
              </w:rPr>
            </w:pPr>
            <w:r w:rsidRPr="006A6D32">
              <w:rPr>
                <w:rFonts w:asciiTheme="minorHAnsi" w:hAnsiTheme="minorHAnsi" w:cstheme="minorHAnsi"/>
                <w:sz w:val="24"/>
                <w:szCs w:val="24"/>
              </w:rPr>
              <w:t>Afdækning af teknologiske barrierer og muligheder for genbrug/genanvendelse:</w:t>
            </w:r>
          </w:p>
          <w:p w:rsidR="00885370" w:rsidRPr="006A6D32" w:rsidRDefault="00885370" w:rsidP="008079D7">
            <w:pPr>
              <w:rPr>
                <w:rFonts w:asciiTheme="minorHAnsi" w:hAnsiTheme="minorHAnsi" w:cstheme="minorHAnsi"/>
                <w:sz w:val="24"/>
                <w:szCs w:val="24"/>
              </w:rPr>
            </w:pPr>
          </w:p>
          <w:p w:rsidR="00885370" w:rsidRPr="006A6D32" w:rsidRDefault="00885370" w:rsidP="008079D7">
            <w:pPr>
              <w:rPr>
                <w:rFonts w:asciiTheme="minorHAnsi" w:hAnsiTheme="minorHAnsi" w:cstheme="minorHAnsi"/>
                <w:sz w:val="24"/>
                <w:szCs w:val="24"/>
              </w:rPr>
            </w:pPr>
            <w:r w:rsidRPr="006A6D32">
              <w:rPr>
                <w:rFonts w:asciiTheme="minorHAnsi" w:hAnsiTheme="minorHAnsi" w:cstheme="minorHAnsi"/>
                <w:sz w:val="24"/>
                <w:szCs w:val="24"/>
              </w:rPr>
              <w:t xml:space="preserve">Arbejdspakke </w:t>
            </w:r>
            <w:r w:rsidR="00B500B6" w:rsidRPr="006A6D32">
              <w:rPr>
                <w:rFonts w:asciiTheme="minorHAnsi" w:hAnsiTheme="minorHAnsi" w:cstheme="minorHAnsi"/>
                <w:sz w:val="24"/>
                <w:szCs w:val="24"/>
              </w:rPr>
              <w:t>2</w:t>
            </w:r>
            <w:r w:rsidRPr="006A6D32">
              <w:rPr>
                <w:rFonts w:asciiTheme="minorHAnsi" w:hAnsiTheme="minorHAnsi" w:cstheme="minorHAnsi"/>
                <w:sz w:val="24"/>
                <w:szCs w:val="24"/>
              </w:rPr>
              <w:t xml:space="preserve"> vil tage udgangspunkt i</w:t>
            </w:r>
            <w:r w:rsidR="00B500B6" w:rsidRPr="006A6D32">
              <w:rPr>
                <w:rFonts w:asciiTheme="minorHAnsi" w:hAnsiTheme="minorHAnsi" w:cstheme="minorHAnsi"/>
                <w:sz w:val="24"/>
                <w:szCs w:val="24"/>
              </w:rPr>
              <w:t xml:space="preserve"> de tre identificerede </w:t>
            </w:r>
            <w:r w:rsidRPr="006A6D32">
              <w:rPr>
                <w:rFonts w:asciiTheme="minorHAnsi" w:hAnsiTheme="minorHAnsi" w:cstheme="minorHAnsi"/>
                <w:sz w:val="24"/>
                <w:szCs w:val="24"/>
              </w:rPr>
              <w:t>cases hos tre virksomheder, der anvender</w:t>
            </w:r>
            <w:r w:rsidR="00B500B6" w:rsidRPr="006A6D32">
              <w:rPr>
                <w:rFonts w:asciiTheme="minorHAnsi" w:hAnsiTheme="minorHAnsi" w:cstheme="minorHAnsi"/>
                <w:sz w:val="24"/>
                <w:szCs w:val="24"/>
              </w:rPr>
              <w:t xml:space="preserve"> de</w:t>
            </w:r>
            <w:r w:rsidRPr="006A6D32">
              <w:rPr>
                <w:rFonts w:asciiTheme="minorHAnsi" w:hAnsiTheme="minorHAnsi" w:cstheme="minorHAnsi"/>
                <w:sz w:val="24"/>
                <w:szCs w:val="24"/>
              </w:rPr>
              <w:t xml:space="preserve"> primære kemiske ressourcer som f.eks. tekniske hjælpemidler, hvor der vil blive en: </w:t>
            </w:r>
          </w:p>
          <w:p w:rsidR="00885370" w:rsidRPr="006A6D32" w:rsidRDefault="00885370" w:rsidP="008079D7">
            <w:pPr>
              <w:rPr>
                <w:rFonts w:asciiTheme="minorHAnsi" w:hAnsiTheme="minorHAnsi" w:cstheme="minorHAnsi"/>
                <w:sz w:val="24"/>
                <w:szCs w:val="24"/>
              </w:rPr>
            </w:pPr>
          </w:p>
          <w:p w:rsidR="00885370" w:rsidRPr="006A6D32" w:rsidRDefault="00885370" w:rsidP="00885370">
            <w:pPr>
              <w:pStyle w:val="Kommentartekst"/>
              <w:numPr>
                <w:ilvl w:val="0"/>
                <w:numId w:val="3"/>
              </w:numPr>
              <w:ind w:left="402" w:hanging="300"/>
              <w:rPr>
                <w:rFonts w:asciiTheme="minorHAnsi" w:hAnsiTheme="minorHAnsi" w:cstheme="minorHAnsi"/>
                <w:sz w:val="24"/>
                <w:szCs w:val="24"/>
              </w:rPr>
            </w:pPr>
            <w:r w:rsidRPr="006A6D32">
              <w:rPr>
                <w:rFonts w:asciiTheme="minorHAnsi" w:hAnsiTheme="minorHAnsi" w:cstheme="minorHAnsi"/>
                <w:sz w:val="24"/>
                <w:szCs w:val="24"/>
              </w:rPr>
              <w:t>Identifikation af kilder til genanvendelige kemikalieressourcer.</w:t>
            </w:r>
          </w:p>
          <w:p w:rsidR="00885370" w:rsidRPr="006A6D32" w:rsidRDefault="00885370" w:rsidP="00885370">
            <w:pPr>
              <w:pStyle w:val="Kommentartekst"/>
              <w:numPr>
                <w:ilvl w:val="0"/>
                <w:numId w:val="3"/>
              </w:numPr>
              <w:ind w:left="402" w:hanging="283"/>
              <w:rPr>
                <w:rFonts w:asciiTheme="minorHAnsi" w:hAnsiTheme="minorHAnsi" w:cstheme="minorHAnsi"/>
                <w:sz w:val="24"/>
                <w:szCs w:val="24"/>
              </w:rPr>
            </w:pPr>
            <w:r w:rsidRPr="006A6D32">
              <w:rPr>
                <w:rFonts w:asciiTheme="minorHAnsi" w:hAnsiTheme="minorHAnsi" w:cstheme="minorHAnsi"/>
                <w:sz w:val="24"/>
                <w:szCs w:val="24"/>
              </w:rPr>
              <w:t>Forberedelse til genbrug/genanvendelse, herunder identifikation af tekniske muligheder for oparbejdning af ressourcen til genbrug/genanvendelse.</w:t>
            </w:r>
          </w:p>
          <w:p w:rsidR="00885370" w:rsidRPr="006A6D32" w:rsidRDefault="00885370" w:rsidP="00885370">
            <w:pPr>
              <w:pStyle w:val="Kommentartekst"/>
              <w:numPr>
                <w:ilvl w:val="0"/>
                <w:numId w:val="3"/>
              </w:numPr>
              <w:ind w:left="402" w:hanging="283"/>
              <w:rPr>
                <w:rFonts w:asciiTheme="minorHAnsi" w:hAnsiTheme="minorHAnsi" w:cstheme="minorHAnsi"/>
                <w:sz w:val="24"/>
                <w:szCs w:val="24"/>
              </w:rPr>
            </w:pPr>
            <w:r w:rsidRPr="006A6D32">
              <w:rPr>
                <w:rFonts w:asciiTheme="minorHAnsi" w:hAnsiTheme="minorHAnsi" w:cstheme="minorHAnsi"/>
                <w:sz w:val="24"/>
                <w:szCs w:val="24"/>
              </w:rPr>
              <w:t>Karakterisering af kemikalieressourcer, stof, identitet Fastlæggelse af stof identitet, renhed, indhold af biprodukter og forureninger.</w:t>
            </w:r>
          </w:p>
          <w:p w:rsidR="00885370" w:rsidRPr="006A6D32" w:rsidRDefault="00885370" w:rsidP="00885370">
            <w:pPr>
              <w:pStyle w:val="Kommentartekst"/>
              <w:numPr>
                <w:ilvl w:val="0"/>
                <w:numId w:val="3"/>
              </w:numPr>
              <w:ind w:left="402" w:hanging="283"/>
              <w:rPr>
                <w:rFonts w:asciiTheme="minorHAnsi" w:hAnsiTheme="minorHAnsi" w:cstheme="minorHAnsi"/>
                <w:sz w:val="24"/>
                <w:szCs w:val="24"/>
              </w:rPr>
            </w:pPr>
            <w:r w:rsidRPr="006A6D32">
              <w:rPr>
                <w:rFonts w:asciiTheme="minorHAnsi" w:hAnsiTheme="minorHAnsi" w:cstheme="minorHAnsi"/>
                <w:sz w:val="24"/>
                <w:szCs w:val="24"/>
              </w:rPr>
              <w:t>Dokumentation af stofidentitet, renhed og urenheder.</w:t>
            </w:r>
          </w:p>
          <w:p w:rsidR="00885370" w:rsidRPr="006A6D32" w:rsidRDefault="00885370" w:rsidP="008079D7">
            <w:pPr>
              <w:ind w:left="402" w:hanging="283"/>
              <w:rPr>
                <w:rFonts w:asciiTheme="minorHAnsi" w:hAnsiTheme="minorHAnsi" w:cstheme="minorHAnsi"/>
                <w:sz w:val="24"/>
                <w:szCs w:val="24"/>
              </w:rPr>
            </w:pPr>
          </w:p>
          <w:p w:rsidR="00885370" w:rsidRPr="006A6D32" w:rsidRDefault="00885370" w:rsidP="008079D7">
            <w:pPr>
              <w:rPr>
                <w:rFonts w:asciiTheme="minorHAnsi" w:hAnsiTheme="minorHAnsi" w:cstheme="minorHAnsi"/>
                <w:sz w:val="24"/>
                <w:szCs w:val="24"/>
              </w:rPr>
            </w:pPr>
          </w:p>
        </w:tc>
      </w:tr>
      <w:tr w:rsidR="00885370" w:rsidRPr="006A6D32" w:rsidTr="00B500B6">
        <w:tc>
          <w:tcPr>
            <w:tcW w:w="9294" w:type="dxa"/>
          </w:tcPr>
          <w:p w:rsidR="00885370" w:rsidRPr="006A6D32" w:rsidRDefault="00885370" w:rsidP="008079D7">
            <w:pPr>
              <w:ind w:left="2" w:hanging="2"/>
              <w:rPr>
                <w:rFonts w:asciiTheme="minorHAnsi" w:hAnsiTheme="minorHAnsi" w:cstheme="minorHAnsi"/>
                <w:sz w:val="24"/>
                <w:szCs w:val="24"/>
              </w:rPr>
            </w:pPr>
            <w:r w:rsidRPr="006A6D32">
              <w:rPr>
                <w:rFonts w:asciiTheme="minorHAnsi" w:hAnsiTheme="minorHAnsi" w:cstheme="minorHAnsi"/>
                <w:b/>
                <w:sz w:val="24"/>
                <w:szCs w:val="24"/>
              </w:rPr>
              <w:t xml:space="preserve">Arbejdspakke </w:t>
            </w:r>
            <w:r w:rsidR="00B500B6" w:rsidRPr="006A6D32">
              <w:rPr>
                <w:rFonts w:asciiTheme="minorHAnsi" w:hAnsiTheme="minorHAnsi" w:cstheme="minorHAnsi"/>
                <w:b/>
                <w:sz w:val="24"/>
                <w:szCs w:val="24"/>
              </w:rPr>
              <w:t>3</w:t>
            </w:r>
            <w:r w:rsidRPr="006A6D32">
              <w:rPr>
                <w:rFonts w:asciiTheme="minorHAnsi" w:hAnsiTheme="minorHAnsi" w:cstheme="minorHAnsi"/>
                <w:sz w:val="24"/>
                <w:szCs w:val="24"/>
              </w:rPr>
              <w:t>: Sekundære brugere af kemikalieressourcer</w:t>
            </w:r>
            <w:r w:rsidR="00B500B6" w:rsidRPr="006A6D32">
              <w:rPr>
                <w:rFonts w:asciiTheme="minorHAnsi" w:hAnsiTheme="minorHAnsi" w:cstheme="minorHAnsi"/>
                <w:sz w:val="24"/>
                <w:szCs w:val="24"/>
              </w:rPr>
              <w:t>/ værktøjsorienteret udvikling</w:t>
            </w:r>
          </w:p>
          <w:p w:rsidR="00885370" w:rsidRPr="006A6D32" w:rsidRDefault="00885370" w:rsidP="008079D7">
            <w:pPr>
              <w:ind w:left="2" w:hanging="2"/>
              <w:rPr>
                <w:rFonts w:asciiTheme="minorHAnsi" w:hAnsiTheme="minorHAnsi" w:cstheme="minorHAnsi"/>
                <w:sz w:val="24"/>
                <w:szCs w:val="24"/>
              </w:rPr>
            </w:pPr>
          </w:p>
          <w:p w:rsidR="00885370" w:rsidRPr="006A6D32" w:rsidRDefault="00885370" w:rsidP="00885370">
            <w:pPr>
              <w:pStyle w:val="Listeafsnit"/>
              <w:numPr>
                <w:ilvl w:val="0"/>
                <w:numId w:val="4"/>
              </w:numPr>
              <w:rPr>
                <w:rFonts w:asciiTheme="minorHAnsi" w:hAnsiTheme="minorHAnsi" w:cstheme="minorHAnsi"/>
                <w:sz w:val="24"/>
                <w:szCs w:val="24"/>
              </w:rPr>
            </w:pPr>
            <w:r w:rsidRPr="006A6D32">
              <w:rPr>
                <w:rFonts w:asciiTheme="minorHAnsi" w:hAnsiTheme="minorHAnsi" w:cstheme="minorHAnsi"/>
                <w:sz w:val="24"/>
                <w:szCs w:val="24"/>
              </w:rPr>
              <w:t>Identifikation af specifikationer/krav hos nedstrøms brugere</w:t>
            </w:r>
          </w:p>
          <w:p w:rsidR="00885370" w:rsidRPr="006A6D32" w:rsidRDefault="00885370" w:rsidP="00885370">
            <w:pPr>
              <w:pStyle w:val="Listeafsnit"/>
              <w:numPr>
                <w:ilvl w:val="0"/>
                <w:numId w:val="4"/>
              </w:numPr>
              <w:rPr>
                <w:rFonts w:asciiTheme="minorHAnsi" w:hAnsiTheme="minorHAnsi" w:cstheme="minorHAnsi"/>
                <w:sz w:val="24"/>
                <w:szCs w:val="24"/>
              </w:rPr>
            </w:pPr>
            <w:r w:rsidRPr="006A6D32">
              <w:rPr>
                <w:rFonts w:asciiTheme="minorHAnsi" w:hAnsiTheme="minorHAnsi" w:cstheme="minorHAnsi"/>
                <w:sz w:val="24"/>
                <w:szCs w:val="24"/>
              </w:rPr>
              <w:lastRenderedPageBreak/>
              <w:t>Specifikationer for kemikalieråvarer</w:t>
            </w:r>
          </w:p>
          <w:p w:rsidR="00885370" w:rsidRPr="006A6D32" w:rsidRDefault="00885370" w:rsidP="00885370">
            <w:pPr>
              <w:pStyle w:val="Listeafsnit"/>
              <w:numPr>
                <w:ilvl w:val="0"/>
                <w:numId w:val="4"/>
              </w:numPr>
              <w:rPr>
                <w:rFonts w:asciiTheme="minorHAnsi" w:hAnsiTheme="minorHAnsi" w:cstheme="minorHAnsi"/>
                <w:sz w:val="24"/>
                <w:szCs w:val="24"/>
              </w:rPr>
            </w:pPr>
            <w:r w:rsidRPr="006A6D32">
              <w:rPr>
                <w:rFonts w:asciiTheme="minorHAnsi" w:hAnsiTheme="minorHAnsi" w:cstheme="minorHAnsi"/>
                <w:sz w:val="24"/>
                <w:szCs w:val="24"/>
              </w:rPr>
              <w:t>Identifikation af sundhed og miljømæssigt sensitive brugsscenarier</w:t>
            </w:r>
          </w:p>
          <w:p w:rsidR="00885370" w:rsidRPr="006A6D32" w:rsidRDefault="00885370" w:rsidP="00885370">
            <w:pPr>
              <w:pStyle w:val="Listeafsnit"/>
              <w:numPr>
                <w:ilvl w:val="0"/>
                <w:numId w:val="4"/>
              </w:numPr>
              <w:rPr>
                <w:rFonts w:asciiTheme="minorHAnsi" w:hAnsiTheme="minorHAnsi" w:cstheme="minorHAnsi"/>
                <w:sz w:val="24"/>
                <w:szCs w:val="24"/>
              </w:rPr>
            </w:pPr>
            <w:r w:rsidRPr="006A6D32">
              <w:rPr>
                <w:rFonts w:asciiTheme="minorHAnsi" w:hAnsiTheme="minorHAnsi" w:cstheme="minorHAnsi"/>
                <w:sz w:val="24"/>
                <w:szCs w:val="24"/>
              </w:rPr>
              <w:t>Vurdering af risiko for skadevirkning af urenheder i den sekundære kemikalieressource.</w:t>
            </w:r>
          </w:p>
        </w:tc>
      </w:tr>
      <w:tr w:rsidR="00B500B6" w:rsidRPr="006A6D32" w:rsidTr="00B500B6">
        <w:tc>
          <w:tcPr>
            <w:tcW w:w="9294" w:type="dxa"/>
          </w:tcPr>
          <w:p w:rsidR="00B500B6" w:rsidRPr="006A6D32" w:rsidRDefault="00B500B6" w:rsidP="008079D7">
            <w:pPr>
              <w:rPr>
                <w:rFonts w:asciiTheme="minorHAnsi" w:hAnsiTheme="minorHAnsi" w:cstheme="minorHAnsi"/>
                <w:sz w:val="24"/>
                <w:szCs w:val="24"/>
              </w:rPr>
            </w:pPr>
            <w:r w:rsidRPr="006A6D32">
              <w:rPr>
                <w:rFonts w:asciiTheme="minorHAnsi" w:hAnsiTheme="minorHAnsi" w:cstheme="minorHAnsi"/>
                <w:b/>
                <w:sz w:val="24"/>
                <w:szCs w:val="24"/>
              </w:rPr>
              <w:lastRenderedPageBreak/>
              <w:t>Arbejdspakke 4</w:t>
            </w:r>
            <w:r w:rsidRPr="006A6D32">
              <w:rPr>
                <w:rFonts w:asciiTheme="minorHAnsi" w:hAnsiTheme="minorHAnsi" w:cstheme="minorHAnsi"/>
                <w:sz w:val="24"/>
                <w:szCs w:val="24"/>
              </w:rPr>
              <w:t xml:space="preserve"> </w:t>
            </w:r>
          </w:p>
          <w:p w:rsidR="00B500B6" w:rsidRPr="006A6D32" w:rsidRDefault="00B500B6" w:rsidP="008079D7">
            <w:pPr>
              <w:rPr>
                <w:rFonts w:asciiTheme="minorHAnsi" w:hAnsiTheme="minorHAnsi" w:cstheme="minorHAnsi"/>
                <w:sz w:val="24"/>
                <w:szCs w:val="24"/>
              </w:rPr>
            </w:pPr>
            <w:r w:rsidRPr="006A6D32">
              <w:rPr>
                <w:rFonts w:asciiTheme="minorHAnsi" w:hAnsiTheme="minorHAnsi" w:cstheme="minorHAnsi"/>
                <w:sz w:val="24"/>
                <w:szCs w:val="24"/>
              </w:rPr>
              <w:t>En udredning af de eventuelle juridiske barrierer, der kan være for genbrug/genanvendelse. Videre en udredning af samspillet mellem REACH og affaldslovgivningen</w:t>
            </w:r>
            <w:r w:rsidR="002F0630" w:rsidRPr="006A6D32">
              <w:rPr>
                <w:rFonts w:asciiTheme="minorHAnsi" w:hAnsiTheme="minorHAnsi" w:cstheme="minorHAnsi"/>
                <w:sz w:val="24"/>
                <w:szCs w:val="24"/>
              </w:rPr>
              <w:t xml:space="preserve"> og vurdering af vilkår i virksomhedernes miljøgodkendelser i forhold til genanvendelse af sekundære kemiske ressourcer</w:t>
            </w:r>
          </w:p>
          <w:p w:rsidR="00B500B6" w:rsidRPr="006A6D32" w:rsidRDefault="00B500B6" w:rsidP="008079D7">
            <w:pPr>
              <w:rPr>
                <w:rFonts w:asciiTheme="minorHAnsi" w:hAnsiTheme="minorHAnsi" w:cstheme="minorHAnsi"/>
                <w:sz w:val="24"/>
                <w:szCs w:val="24"/>
              </w:rPr>
            </w:pPr>
          </w:p>
        </w:tc>
      </w:tr>
      <w:tr w:rsidR="00B500B6" w:rsidRPr="006A6D32" w:rsidTr="00B500B6">
        <w:tc>
          <w:tcPr>
            <w:tcW w:w="9294" w:type="dxa"/>
          </w:tcPr>
          <w:p w:rsidR="002F0630" w:rsidRPr="006A6D32" w:rsidRDefault="00B500B6" w:rsidP="008079D7">
            <w:pPr>
              <w:rPr>
                <w:rFonts w:asciiTheme="minorHAnsi" w:hAnsiTheme="minorHAnsi" w:cstheme="minorHAnsi"/>
                <w:sz w:val="24"/>
                <w:szCs w:val="24"/>
              </w:rPr>
            </w:pPr>
            <w:r w:rsidRPr="006A6D32">
              <w:rPr>
                <w:rFonts w:asciiTheme="minorHAnsi" w:hAnsiTheme="minorHAnsi" w:cstheme="minorHAnsi"/>
                <w:b/>
                <w:sz w:val="24"/>
                <w:szCs w:val="24"/>
              </w:rPr>
              <w:t>Arbejdspakke 5</w:t>
            </w:r>
            <w:r w:rsidRPr="006A6D32">
              <w:rPr>
                <w:rFonts w:asciiTheme="minorHAnsi" w:hAnsiTheme="minorHAnsi" w:cstheme="minorHAnsi"/>
                <w:sz w:val="24"/>
                <w:szCs w:val="24"/>
              </w:rPr>
              <w:t>: Formidling af projektets resultater</w:t>
            </w:r>
            <w:r w:rsidR="002F0630" w:rsidRPr="006A6D32">
              <w:rPr>
                <w:rFonts w:asciiTheme="minorHAnsi" w:hAnsiTheme="minorHAnsi" w:cstheme="minorHAnsi"/>
                <w:sz w:val="24"/>
                <w:szCs w:val="24"/>
              </w:rPr>
              <w:t>.</w:t>
            </w:r>
          </w:p>
          <w:p w:rsidR="002F0630" w:rsidRPr="006A6D32" w:rsidRDefault="002F0630" w:rsidP="008079D7">
            <w:pPr>
              <w:rPr>
                <w:rFonts w:asciiTheme="minorHAnsi" w:hAnsiTheme="minorHAnsi" w:cstheme="minorHAnsi"/>
                <w:sz w:val="24"/>
                <w:szCs w:val="24"/>
              </w:rPr>
            </w:pPr>
            <w:r w:rsidRPr="006A6D32">
              <w:rPr>
                <w:rFonts w:asciiTheme="minorHAnsi" w:hAnsiTheme="minorHAnsi" w:cstheme="minorHAnsi"/>
                <w:sz w:val="24"/>
                <w:szCs w:val="24"/>
              </w:rPr>
              <w:t>Formidlingen vil ske løbende igennem afholdelse af workshops, indlæg på konferencer m.v. og skriftligt</w:t>
            </w:r>
          </w:p>
        </w:tc>
      </w:tr>
    </w:tbl>
    <w:p w:rsidR="00B500B6" w:rsidRPr="006A6D32" w:rsidRDefault="00B500B6" w:rsidP="000D3569">
      <w:pPr>
        <w:pStyle w:val="Overskrift1"/>
        <w:rPr>
          <w:rFonts w:asciiTheme="minorHAnsi" w:hAnsiTheme="minorHAnsi" w:cstheme="minorHAnsi"/>
          <w:color w:val="444444"/>
          <w:sz w:val="24"/>
          <w:szCs w:val="24"/>
        </w:rPr>
      </w:pPr>
    </w:p>
    <w:sectPr w:rsidR="00B500B6" w:rsidRPr="006A6D32">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465" w:rsidRDefault="00F93465">
      <w:r>
        <w:separator/>
      </w:r>
    </w:p>
  </w:endnote>
  <w:endnote w:type="continuationSeparator" w:id="0">
    <w:p w:rsidR="00F93465" w:rsidRDefault="00F9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412" w:rsidRDefault="004E0412" w:rsidP="008922ED">
    <w:pPr>
      <w:pStyle w:val="Sidefod"/>
      <w:jc w:val="center"/>
    </w:pPr>
    <w:r>
      <w:t xml:space="preserve">Adresse: Bistrupvej 172, 3460 Birkerød / Cvr-nummer.:   37 31 19 36. / Bank: Danske Bank   / </w:t>
    </w:r>
  </w:p>
  <w:p w:rsidR="004E0412" w:rsidRPr="000C4D9F" w:rsidRDefault="004E0412" w:rsidP="008922ED">
    <w:pPr>
      <w:pStyle w:val="Sidefod"/>
      <w:jc w:val="center"/>
    </w:pPr>
    <w:r w:rsidRPr="000C4D9F">
      <w:t>K</w:t>
    </w:r>
    <w:r w:rsidRPr="000C4D9F">
      <w:rPr>
        <w:rFonts w:ascii="Calibri" w:hAnsi="Calibri"/>
        <w:bCs/>
      </w:rPr>
      <w:t>lientkonto :3409 11930 980</w:t>
    </w:r>
    <w:r w:rsidRPr="000C4D9F">
      <w:rPr>
        <w:rFonts w:ascii="Calibri" w:hAnsi="Calibri"/>
      </w:rPr>
      <w:t>.</w:t>
    </w:r>
  </w:p>
  <w:p w:rsidR="004E0412" w:rsidRPr="000C4D9F" w:rsidRDefault="004E0412" w:rsidP="008922ED">
    <w:pPr>
      <w:pStyle w:val="Sidefod"/>
      <w:jc w:val="center"/>
    </w:pPr>
    <w:r>
      <w:t>E-Mailadresse:vp@adv-plambeck.dk / tel.nr. 2280 3210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465" w:rsidRDefault="00F93465">
      <w:r>
        <w:separator/>
      </w:r>
    </w:p>
  </w:footnote>
  <w:footnote w:type="continuationSeparator" w:id="0">
    <w:p w:rsidR="00F93465" w:rsidRDefault="00F9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412" w:rsidRDefault="00F93465">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96954" o:spid="_x0000_s2050" type="#_x0000_t75" style="position:absolute;margin-left:0;margin-top:0;width:481.7pt;height:344.1pt;z-index:-251656192;mso-position-horizontal:center;mso-position-horizontal-relative:margin;mso-position-vertical:center;mso-position-vertical-relative:margin" o:allowincell="f">
          <v:imagedata r:id="rId1" o:title="logo Jura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412" w:rsidRPr="000C4D9F" w:rsidRDefault="00F93465" w:rsidP="008922ED">
    <w:pPr>
      <w:pStyle w:val="Sidehoved"/>
      <w:jc w:val="center"/>
      <w:rPr>
        <w:color w:val="525252" w:themeColor="accent3" w:themeShade="80"/>
        <w:sz w:val="36"/>
        <w:szCs w:val="36"/>
      </w:rPr>
    </w:pPr>
    <w:r>
      <w:rPr>
        <w:noProof/>
        <w:color w:val="525252" w:themeColor="accent3" w:themeShade="8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96955" o:spid="_x0000_s2051" type="#_x0000_t75" style="position:absolute;left:0;text-align:left;margin-left:.1pt;margin-top:144.25pt;width:481.7pt;height:344.1pt;z-index:-251655168;mso-position-horizontal-relative:margin;mso-position-vertical-relative:margin" o:allowincell="f">
          <v:imagedata r:id="rId1" o:title="logo Juraad" gain="19661f" blacklevel="22938f"/>
          <w10:wrap anchorx="margin" anchory="margin"/>
        </v:shape>
      </w:pict>
    </w:r>
    <w:r w:rsidR="004E0412">
      <w:rPr>
        <w:noProof/>
        <w:color w:val="525252" w:themeColor="accent3" w:themeShade="80"/>
        <w:sz w:val="36"/>
        <w:szCs w:val="36"/>
      </w:rPr>
      <w:drawing>
        <wp:inline distT="0" distB="0" distL="0" distR="0" wp14:anchorId="3C03055D" wp14:editId="5AF1A32A">
          <wp:extent cx="4591050" cy="11715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raad logo Brevpapir copy.jpg"/>
                  <pic:cNvPicPr/>
                </pic:nvPicPr>
                <pic:blipFill rotWithShape="1">
                  <a:blip r:embed="rId2">
                    <a:extLst>
                      <a:ext uri="{28A0092B-C50C-407E-A947-70E740481C1C}">
                        <a14:useLocalDpi xmlns:a14="http://schemas.microsoft.com/office/drawing/2010/main" val="0"/>
                      </a:ext>
                    </a:extLst>
                  </a:blip>
                  <a:srcRect l="823" t="18473" b="16831"/>
                  <a:stretch/>
                </pic:blipFill>
                <pic:spPr bwMode="auto">
                  <a:xfrm>
                    <a:off x="0" y="0"/>
                    <a:ext cx="4591050" cy="11715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412" w:rsidRDefault="00F93465">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96953" o:spid="_x0000_s2049" type="#_x0000_t75" style="position:absolute;margin-left:0;margin-top:0;width:481.7pt;height:344.1pt;z-index:-251657216;mso-position-horizontal:center;mso-position-horizontal-relative:margin;mso-position-vertical:center;mso-position-vertical-relative:margin" o:allowincell="f">
          <v:imagedata r:id="rId1" o:title="logo Jura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249C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A6B2D2E"/>
    <w:multiLevelType w:val="hybridMultilevel"/>
    <w:tmpl w:val="63BC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405FA"/>
    <w:multiLevelType w:val="hybridMultilevel"/>
    <w:tmpl w:val="0FB852BA"/>
    <w:lvl w:ilvl="0" w:tplc="2CAE7312">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15:restartNumberingAfterBreak="0">
    <w:nsid w:val="39D022E4"/>
    <w:multiLevelType w:val="hybridMultilevel"/>
    <w:tmpl w:val="626E81C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42CE0D19"/>
    <w:multiLevelType w:val="hybridMultilevel"/>
    <w:tmpl w:val="F2787A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8606AFC"/>
    <w:multiLevelType w:val="hybridMultilevel"/>
    <w:tmpl w:val="0FC66E2A"/>
    <w:lvl w:ilvl="0" w:tplc="04060009">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69"/>
    <w:rsid w:val="00025D3D"/>
    <w:rsid w:val="000523A5"/>
    <w:rsid w:val="0007555F"/>
    <w:rsid w:val="000D1037"/>
    <w:rsid w:val="000D3569"/>
    <w:rsid w:val="000D3A21"/>
    <w:rsid w:val="000F5893"/>
    <w:rsid w:val="001025A3"/>
    <w:rsid w:val="0013170D"/>
    <w:rsid w:val="001B341F"/>
    <w:rsid w:val="001E69FF"/>
    <w:rsid w:val="001F1A1C"/>
    <w:rsid w:val="001F7241"/>
    <w:rsid w:val="00215388"/>
    <w:rsid w:val="00221D04"/>
    <w:rsid w:val="00264FEE"/>
    <w:rsid w:val="00267732"/>
    <w:rsid w:val="00272C9F"/>
    <w:rsid w:val="00274457"/>
    <w:rsid w:val="002747D9"/>
    <w:rsid w:val="00296AE2"/>
    <w:rsid w:val="002B695E"/>
    <w:rsid w:val="002F0630"/>
    <w:rsid w:val="00312F2F"/>
    <w:rsid w:val="003243C3"/>
    <w:rsid w:val="00331DFD"/>
    <w:rsid w:val="00360AA2"/>
    <w:rsid w:val="00376F39"/>
    <w:rsid w:val="003D548B"/>
    <w:rsid w:val="003E22A3"/>
    <w:rsid w:val="003E4019"/>
    <w:rsid w:val="00402DDC"/>
    <w:rsid w:val="00403F69"/>
    <w:rsid w:val="0045184F"/>
    <w:rsid w:val="00452E0B"/>
    <w:rsid w:val="00474A88"/>
    <w:rsid w:val="00477518"/>
    <w:rsid w:val="00484250"/>
    <w:rsid w:val="004C317E"/>
    <w:rsid w:val="004E0412"/>
    <w:rsid w:val="004E2D5E"/>
    <w:rsid w:val="00513C6C"/>
    <w:rsid w:val="005232E0"/>
    <w:rsid w:val="0053638E"/>
    <w:rsid w:val="005636E6"/>
    <w:rsid w:val="0058718C"/>
    <w:rsid w:val="00595388"/>
    <w:rsid w:val="005C5B6F"/>
    <w:rsid w:val="005D20B3"/>
    <w:rsid w:val="005E6DDF"/>
    <w:rsid w:val="006074B7"/>
    <w:rsid w:val="00693F90"/>
    <w:rsid w:val="006A6D32"/>
    <w:rsid w:val="006B03E4"/>
    <w:rsid w:val="006B34FF"/>
    <w:rsid w:val="00717D8A"/>
    <w:rsid w:val="00785E5F"/>
    <w:rsid w:val="007860CC"/>
    <w:rsid w:val="00802AE1"/>
    <w:rsid w:val="00804A7B"/>
    <w:rsid w:val="00822819"/>
    <w:rsid w:val="00826DB4"/>
    <w:rsid w:val="0083041F"/>
    <w:rsid w:val="00885370"/>
    <w:rsid w:val="008922ED"/>
    <w:rsid w:val="008D195A"/>
    <w:rsid w:val="008D777B"/>
    <w:rsid w:val="008E4C02"/>
    <w:rsid w:val="00927CC3"/>
    <w:rsid w:val="00951E3B"/>
    <w:rsid w:val="009A636F"/>
    <w:rsid w:val="009B3CAA"/>
    <w:rsid w:val="00A1036B"/>
    <w:rsid w:val="00A447BE"/>
    <w:rsid w:val="00A9458F"/>
    <w:rsid w:val="00AE0417"/>
    <w:rsid w:val="00AE3A56"/>
    <w:rsid w:val="00AF661E"/>
    <w:rsid w:val="00B003B6"/>
    <w:rsid w:val="00B006F6"/>
    <w:rsid w:val="00B17993"/>
    <w:rsid w:val="00B500B6"/>
    <w:rsid w:val="00B52130"/>
    <w:rsid w:val="00B57198"/>
    <w:rsid w:val="00B608AB"/>
    <w:rsid w:val="00BC1A82"/>
    <w:rsid w:val="00BE4989"/>
    <w:rsid w:val="00BF42C1"/>
    <w:rsid w:val="00C1360C"/>
    <w:rsid w:val="00C40841"/>
    <w:rsid w:val="00C71C6D"/>
    <w:rsid w:val="00C80DA9"/>
    <w:rsid w:val="00CA5A56"/>
    <w:rsid w:val="00CC0401"/>
    <w:rsid w:val="00CC36BA"/>
    <w:rsid w:val="00CC5BAD"/>
    <w:rsid w:val="00CE45FF"/>
    <w:rsid w:val="00CE7C94"/>
    <w:rsid w:val="00D31CEC"/>
    <w:rsid w:val="00D35B83"/>
    <w:rsid w:val="00D363BB"/>
    <w:rsid w:val="00D44FA4"/>
    <w:rsid w:val="00D71B0C"/>
    <w:rsid w:val="00DA3AC5"/>
    <w:rsid w:val="00DB30CB"/>
    <w:rsid w:val="00DB7C45"/>
    <w:rsid w:val="00DE650D"/>
    <w:rsid w:val="00DF33CB"/>
    <w:rsid w:val="00E37860"/>
    <w:rsid w:val="00E47708"/>
    <w:rsid w:val="00E558B7"/>
    <w:rsid w:val="00E62049"/>
    <w:rsid w:val="00E6477C"/>
    <w:rsid w:val="00EE5603"/>
    <w:rsid w:val="00F0754E"/>
    <w:rsid w:val="00F243CD"/>
    <w:rsid w:val="00F66666"/>
    <w:rsid w:val="00F93465"/>
    <w:rsid w:val="00FB474E"/>
    <w:rsid w:val="00FD49C1"/>
    <w:rsid w:val="00FD6BAA"/>
    <w:rsid w:val="00FD73D6"/>
    <w:rsid w:val="00FE23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A9ACC0F-AF8C-4A9A-9314-13452C06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3F69"/>
    <w:pPr>
      <w:overflowPunct w:val="0"/>
      <w:autoSpaceDE w:val="0"/>
      <w:autoSpaceDN w:val="0"/>
      <w:adjustRightInd w:val="0"/>
      <w:spacing w:after="0" w:line="240" w:lineRule="auto"/>
      <w:textAlignment w:val="baseline"/>
    </w:pPr>
    <w:rPr>
      <w:rFonts w:ascii="Georgia" w:eastAsia="Times New Roman" w:hAnsi="Georgia" w:cs="Times New Roman"/>
      <w:sz w:val="20"/>
      <w:szCs w:val="20"/>
      <w:lang w:eastAsia="da-DK"/>
    </w:rPr>
  </w:style>
  <w:style w:type="paragraph" w:styleId="Overskrift1">
    <w:name w:val="heading 1"/>
    <w:basedOn w:val="Normal"/>
    <w:link w:val="Overskrift1Tegn"/>
    <w:uiPriority w:val="9"/>
    <w:qFormat/>
    <w:rsid w:val="000D3569"/>
    <w:pPr>
      <w:spacing w:before="100" w:beforeAutospacing="1" w:after="100" w:afterAutospacing="1"/>
      <w:outlineLvl w:val="0"/>
    </w:pPr>
    <w:rPr>
      <w:rFonts w:ascii="Times New Roman" w:hAnsi="Times New Roman"/>
      <w:b/>
      <w:bCs/>
      <w:kern w:val="36"/>
      <w:sz w:val="48"/>
      <w:szCs w:val="48"/>
    </w:rPr>
  </w:style>
  <w:style w:type="paragraph" w:styleId="Overskrift2">
    <w:name w:val="heading 2"/>
    <w:basedOn w:val="Normal"/>
    <w:next w:val="Normal"/>
    <w:link w:val="Overskrift2Tegn"/>
    <w:uiPriority w:val="9"/>
    <w:unhideWhenUsed/>
    <w:qFormat/>
    <w:rsid w:val="00BE49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BE498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D3569"/>
    <w:rPr>
      <w:rFonts w:ascii="Times New Roman" w:eastAsia="Times New Roman" w:hAnsi="Times New Roman" w:cs="Times New Roman"/>
      <w:b/>
      <w:bCs/>
      <w:kern w:val="36"/>
      <w:sz w:val="48"/>
      <w:szCs w:val="48"/>
      <w:lang w:eastAsia="da-DK"/>
    </w:rPr>
  </w:style>
  <w:style w:type="paragraph" w:styleId="Sidehoved">
    <w:name w:val="header"/>
    <w:basedOn w:val="Normal"/>
    <w:link w:val="SidehovedTegn"/>
    <w:uiPriority w:val="99"/>
    <w:unhideWhenUsed/>
    <w:rsid w:val="000D3569"/>
    <w:pPr>
      <w:tabs>
        <w:tab w:val="center" w:pos="4819"/>
        <w:tab w:val="right" w:pos="9638"/>
      </w:tabs>
    </w:pPr>
  </w:style>
  <w:style w:type="character" w:customStyle="1" w:styleId="SidehovedTegn">
    <w:name w:val="Sidehoved Tegn"/>
    <w:basedOn w:val="Standardskrifttypeiafsnit"/>
    <w:link w:val="Sidehoved"/>
    <w:uiPriority w:val="99"/>
    <w:rsid w:val="000D3569"/>
  </w:style>
  <w:style w:type="paragraph" w:styleId="Sidefod">
    <w:name w:val="footer"/>
    <w:basedOn w:val="Normal"/>
    <w:link w:val="SidefodTegn"/>
    <w:uiPriority w:val="99"/>
    <w:unhideWhenUsed/>
    <w:rsid w:val="000D3569"/>
    <w:pPr>
      <w:tabs>
        <w:tab w:val="center" w:pos="4819"/>
        <w:tab w:val="right" w:pos="9638"/>
      </w:tabs>
    </w:pPr>
  </w:style>
  <w:style w:type="character" w:customStyle="1" w:styleId="SidefodTegn">
    <w:name w:val="Sidefod Tegn"/>
    <w:basedOn w:val="Standardskrifttypeiafsnit"/>
    <w:link w:val="Sidefod"/>
    <w:uiPriority w:val="99"/>
    <w:rsid w:val="000D3569"/>
  </w:style>
  <w:style w:type="paragraph" w:styleId="Opstilling-punkttegn">
    <w:name w:val="List Bullet"/>
    <w:basedOn w:val="Normal"/>
    <w:rsid w:val="00403F69"/>
    <w:pPr>
      <w:numPr>
        <w:numId w:val="1"/>
      </w:numPr>
      <w:contextualSpacing/>
    </w:pPr>
  </w:style>
  <w:style w:type="paragraph" w:styleId="Listeafsnit">
    <w:name w:val="List Paragraph"/>
    <w:basedOn w:val="Normal"/>
    <w:uiPriority w:val="34"/>
    <w:qFormat/>
    <w:rsid w:val="0007555F"/>
    <w:pPr>
      <w:ind w:left="720"/>
      <w:contextualSpacing/>
    </w:pPr>
  </w:style>
  <w:style w:type="character" w:customStyle="1" w:styleId="Overskrift2Tegn">
    <w:name w:val="Overskrift 2 Tegn"/>
    <w:basedOn w:val="Standardskrifttypeiafsnit"/>
    <w:link w:val="Overskrift2"/>
    <w:uiPriority w:val="9"/>
    <w:rsid w:val="00BE4989"/>
    <w:rPr>
      <w:rFonts w:asciiTheme="majorHAnsi" w:eastAsiaTheme="majorEastAsia" w:hAnsiTheme="majorHAnsi" w:cstheme="majorBidi"/>
      <w:color w:val="2F5496" w:themeColor="accent1" w:themeShade="BF"/>
      <w:sz w:val="26"/>
      <w:szCs w:val="26"/>
      <w:lang w:eastAsia="da-DK"/>
    </w:rPr>
  </w:style>
  <w:style w:type="character" w:customStyle="1" w:styleId="Overskrift3Tegn">
    <w:name w:val="Overskrift 3 Tegn"/>
    <w:basedOn w:val="Standardskrifttypeiafsnit"/>
    <w:link w:val="Overskrift3"/>
    <w:uiPriority w:val="9"/>
    <w:rsid w:val="00BE4989"/>
    <w:rPr>
      <w:rFonts w:asciiTheme="majorHAnsi" w:eastAsiaTheme="majorEastAsia" w:hAnsiTheme="majorHAnsi" w:cstheme="majorBidi"/>
      <w:color w:val="1F3763" w:themeColor="accent1" w:themeShade="7F"/>
      <w:sz w:val="24"/>
      <w:szCs w:val="24"/>
      <w:lang w:eastAsia="da-DK"/>
    </w:rPr>
  </w:style>
  <w:style w:type="paragraph" w:styleId="Kommentartekst">
    <w:name w:val="annotation text"/>
    <w:basedOn w:val="Normal"/>
    <w:link w:val="KommentartekstTegn"/>
    <w:semiHidden/>
    <w:rsid w:val="00885370"/>
  </w:style>
  <w:style w:type="character" w:customStyle="1" w:styleId="KommentartekstTegn">
    <w:name w:val="Kommentartekst Tegn"/>
    <w:basedOn w:val="Standardskrifttypeiafsnit"/>
    <w:link w:val="Kommentartekst"/>
    <w:semiHidden/>
    <w:rsid w:val="00885370"/>
    <w:rPr>
      <w:rFonts w:ascii="Georgia" w:eastAsia="Times New Roman" w:hAnsi="Georgia" w:cs="Times New Roman"/>
      <w:sz w:val="20"/>
      <w:szCs w:val="20"/>
      <w:lang w:eastAsia="da-DK"/>
    </w:rPr>
  </w:style>
  <w:style w:type="table" w:styleId="Tabel-Gitter">
    <w:name w:val="Table Grid"/>
    <w:basedOn w:val="Tabel-Normal"/>
    <w:uiPriority w:val="39"/>
    <w:rsid w:val="0080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1223</Words>
  <Characters>7467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Plambeck</dc:creator>
  <cp:keywords/>
  <dc:description/>
  <cp:lastModifiedBy>Vibeke Plambeck</cp:lastModifiedBy>
  <cp:revision>13</cp:revision>
  <dcterms:created xsi:type="dcterms:W3CDTF">2018-01-03T11:45:00Z</dcterms:created>
  <dcterms:modified xsi:type="dcterms:W3CDTF">2018-05-16T12:04:00Z</dcterms:modified>
</cp:coreProperties>
</file>